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14D14" w:rsidP="00430EB8" w:rsidRDefault="00D14D14" w14:paraId="14B5651D" wp14:textId="77777777">
      <w:pPr>
        <w:rPr>
          <w:bCs/>
        </w:rPr>
      </w:pPr>
      <w:r w:rsidRPr="00ED0763">
        <w:rPr>
          <w:noProof/>
          <w:lang w:eastAsia="en-US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7079C66" wp14:editId="0A07CB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581150"/>
            <wp:effectExtent l="0" t="0" r="0" b="0"/>
            <wp:wrapNone/>
            <wp:docPr id="1" name="Picture 1" descr="http://www.usm.edu/sites/default/files/groups/office-university-communications/images/univv123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m.edu/sites/default/files/groups/office-university-communications/images/univv123p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14D14" w:rsidP="00D14D14" w:rsidRDefault="00D14D14" w14:paraId="672A6659" wp14:textId="77777777">
      <w:pPr>
        <w:spacing w:after="0" w:line="240" w:lineRule="auto"/>
        <w:ind w:left="2160" w:firstLine="720"/>
        <w:rPr>
          <w:bCs/>
        </w:rPr>
      </w:pPr>
      <w:r>
        <w:rPr>
          <w:bCs/>
        </w:rPr>
        <w:tab/>
      </w:r>
    </w:p>
    <w:p xmlns:wp14="http://schemas.microsoft.com/office/word/2010/wordml" w:rsidR="00D14D14" w:rsidP="00D14D14" w:rsidRDefault="00D14D14" w14:paraId="0A37501D" wp14:textId="77777777">
      <w:pPr>
        <w:spacing w:after="0" w:line="240" w:lineRule="auto"/>
        <w:ind w:left="2160" w:firstLine="720"/>
        <w:rPr>
          <w:bCs/>
        </w:rPr>
      </w:pPr>
    </w:p>
    <w:p xmlns:wp14="http://schemas.microsoft.com/office/word/2010/wordml" w:rsidR="00CB62B9" w:rsidP="004B11CC" w:rsidRDefault="00CB62B9" w14:paraId="5DAB6C7B" wp14:textId="77777777">
      <w:pPr>
        <w:spacing w:after="0" w:line="240" w:lineRule="auto"/>
        <w:ind w:left="3600"/>
        <w:rPr>
          <w:rFonts w:eastAsia="Times New Roman" w:cs="Times New Roman"/>
          <w:b/>
          <w:sz w:val="28"/>
          <w:szCs w:val="28"/>
        </w:rPr>
      </w:pPr>
    </w:p>
    <w:p xmlns:wp14="http://schemas.microsoft.com/office/word/2010/wordml" w:rsidR="00DE2181" w:rsidP="004B11CC" w:rsidRDefault="004B11CC" w14:paraId="4F7B7668" wp14:textId="77777777">
      <w:pPr>
        <w:spacing w:after="0" w:line="240" w:lineRule="auto"/>
        <w:ind w:left="360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Department</w:t>
      </w:r>
      <w:r w:rsidRPr="00DE2181" w:rsidR="00DE2181">
        <w:rPr>
          <w:rFonts w:eastAsia="Times New Roman" w:cs="Times New Roman"/>
          <w:b/>
          <w:sz w:val="28"/>
          <w:szCs w:val="28"/>
        </w:rPr>
        <w:t xml:space="preserve"> </w:t>
      </w:r>
      <w:r w:rsidR="00DE2181">
        <w:rPr>
          <w:rFonts w:eastAsia="Times New Roman" w:cs="Times New Roman"/>
          <w:b/>
          <w:sz w:val="28"/>
          <w:szCs w:val="28"/>
        </w:rPr>
        <w:t>Payment Card</w:t>
      </w:r>
    </w:p>
    <w:p xmlns:wp14="http://schemas.microsoft.com/office/word/2010/wordml" w:rsidR="00D14D14" w:rsidP="00DE2181" w:rsidRDefault="006E21F1" w14:paraId="531EE093" wp14:textId="77777777">
      <w:pPr>
        <w:spacing w:after="0" w:line="240" w:lineRule="auto"/>
        <w:ind w:left="2880" w:firstLine="720"/>
      </w:pPr>
      <w:r>
        <w:rPr>
          <w:rFonts w:eastAsia="Times New Roman" w:cs="Times New Roman"/>
          <w:b/>
          <w:sz w:val="28"/>
          <w:szCs w:val="28"/>
        </w:rPr>
        <w:t xml:space="preserve">Responsibilities </w:t>
      </w:r>
    </w:p>
    <w:p xmlns:wp14="http://schemas.microsoft.com/office/word/2010/wordml" w:rsidR="00D14D14" w:rsidP="00D14D14" w:rsidRDefault="00D14D14" w14:paraId="02EB378F" wp14:textId="77777777">
      <w:pPr>
        <w:tabs>
          <w:tab w:val="left" w:pos="3990"/>
        </w:tabs>
        <w:rPr>
          <w:bCs/>
        </w:rPr>
      </w:pPr>
    </w:p>
    <w:p xmlns:wp14="http://schemas.microsoft.com/office/word/2010/wordml" w:rsidR="00D14D14" w:rsidP="00430EB8" w:rsidRDefault="00D14D14" w14:paraId="6A05A809" wp14:textId="77777777">
      <w:pPr>
        <w:rPr>
          <w:bCs/>
        </w:rPr>
      </w:pPr>
    </w:p>
    <w:p xmlns:wp14="http://schemas.microsoft.com/office/word/2010/wordml" w:rsidRPr="003B5EF2" w:rsidR="00D14D14" w:rsidP="00430EB8" w:rsidRDefault="004B11CC" w14:paraId="4619E90C" wp14:textId="77777777">
      <w:pPr>
        <w:rPr>
          <w:b/>
          <w:bCs/>
          <w:sz w:val="28"/>
          <w:szCs w:val="28"/>
          <w:u w:val="single"/>
        </w:rPr>
      </w:pPr>
      <w:r w:rsidRPr="003B5EF2">
        <w:rPr>
          <w:b/>
          <w:bCs/>
          <w:sz w:val="28"/>
          <w:szCs w:val="28"/>
          <w:u w:val="single"/>
        </w:rPr>
        <w:t xml:space="preserve">Purpose: </w:t>
      </w:r>
    </w:p>
    <w:p xmlns:wp14="http://schemas.microsoft.com/office/word/2010/wordml" w:rsidR="0075116C" w:rsidP="0075116C" w:rsidRDefault="0075116C" w14:paraId="4518A86B" wp14:textId="77777777">
      <w:pPr>
        <w:jc w:val="both"/>
      </w:pPr>
      <w:r>
        <w:t xml:space="preserve">Each department that handles credit and debit card information must have written procedures tailored to its specific organization that are consistent with the University’s </w:t>
      </w:r>
      <w:r w:rsidR="001462FA">
        <w:t xml:space="preserve">Administration and </w:t>
      </w:r>
      <w:r w:rsidR="00C50DCD">
        <w:t>Department Procedures</w:t>
      </w:r>
      <w:r>
        <w:t xml:space="preserve"> and PCI-DSS. Departmental procedures are reviewed, signed an</w:t>
      </w:r>
      <w:r w:rsidR="004326A4">
        <w:t xml:space="preserve">d dated by the department </w:t>
      </w:r>
      <w:r w:rsidR="00716405">
        <w:t>head</w:t>
      </w:r>
      <w:r>
        <w:t xml:space="preserve"> on an annual basis indicating compliance with the University’s </w:t>
      </w:r>
      <w:r w:rsidR="001462FA">
        <w:t>Payment Card Security Policy</w:t>
      </w:r>
      <w:r>
        <w:t xml:space="preserve">. These procedures are submitted to and approved by the </w:t>
      </w:r>
      <w:r w:rsidRPr="0075116C">
        <w:t>Dean or Vice President</w:t>
      </w:r>
      <w:r>
        <w:t>, and the Merchant Services/PCI Committee.</w:t>
      </w:r>
    </w:p>
    <w:p xmlns:wp14="http://schemas.microsoft.com/office/word/2010/wordml" w:rsidR="0075116C" w:rsidP="0075116C" w:rsidRDefault="0075116C" w14:paraId="6D1F90A1" wp14:textId="77777777">
      <w:pPr>
        <w:jc w:val="both"/>
      </w:pPr>
      <w:r>
        <w:t xml:space="preserve">This document is intended to provide assistance in the development of the departmental procedures required by the PCI-DSS. Departmental procedures </w:t>
      </w:r>
      <w:r w:rsidR="004326A4">
        <w:t xml:space="preserve">should </w:t>
      </w:r>
      <w:r>
        <w:t xml:space="preserve">describe the entire transaction process and include, but are not limited to, the following: </w:t>
      </w:r>
    </w:p>
    <w:p xmlns:wp14="http://schemas.microsoft.com/office/word/2010/wordml" w:rsidR="0075116C" w:rsidP="0075116C" w:rsidRDefault="0075116C" w14:paraId="5A26923A" wp14:textId="77777777">
      <w:pPr>
        <w:pStyle w:val="ListParagraph"/>
        <w:numPr>
          <w:ilvl w:val="0"/>
          <w:numId w:val="11"/>
        </w:numPr>
        <w:spacing w:after="0"/>
      </w:pPr>
      <w:r>
        <w:t xml:space="preserve">Segregation of duties </w:t>
      </w:r>
    </w:p>
    <w:p xmlns:wp14="http://schemas.microsoft.com/office/word/2010/wordml" w:rsidR="0075116C" w:rsidP="0075116C" w:rsidRDefault="0075116C" w14:paraId="34C01CCE" wp14:textId="77777777">
      <w:pPr>
        <w:pStyle w:val="ListParagraph"/>
        <w:numPr>
          <w:ilvl w:val="0"/>
          <w:numId w:val="11"/>
        </w:numPr>
        <w:spacing w:after="0"/>
      </w:pPr>
      <w:r>
        <w:t>Deposits</w:t>
      </w:r>
    </w:p>
    <w:p xmlns:wp14="http://schemas.microsoft.com/office/word/2010/wordml" w:rsidR="0075116C" w:rsidP="0075116C" w:rsidRDefault="0075116C" w14:paraId="6546AECE" wp14:textId="77777777">
      <w:pPr>
        <w:pStyle w:val="ListParagraph"/>
        <w:numPr>
          <w:ilvl w:val="0"/>
          <w:numId w:val="11"/>
        </w:numPr>
        <w:spacing w:after="0"/>
      </w:pPr>
      <w:r>
        <w:t xml:space="preserve">Reconciliation procedures </w:t>
      </w:r>
    </w:p>
    <w:p xmlns:wp14="http://schemas.microsoft.com/office/word/2010/wordml" w:rsidR="0075116C" w:rsidP="0075116C" w:rsidRDefault="0075116C" w14:paraId="449A5994" wp14:textId="77777777">
      <w:pPr>
        <w:pStyle w:val="ListParagraph"/>
        <w:numPr>
          <w:ilvl w:val="0"/>
          <w:numId w:val="11"/>
        </w:numPr>
        <w:spacing w:after="0"/>
      </w:pPr>
      <w:r>
        <w:t xml:space="preserve">Physical security </w:t>
      </w:r>
    </w:p>
    <w:p xmlns:wp14="http://schemas.microsoft.com/office/word/2010/wordml" w:rsidR="0075116C" w:rsidP="0075116C" w:rsidRDefault="0075116C" w14:paraId="7AF42805" wp14:textId="77777777">
      <w:pPr>
        <w:pStyle w:val="ListParagraph"/>
        <w:numPr>
          <w:ilvl w:val="0"/>
          <w:numId w:val="11"/>
        </w:numPr>
        <w:spacing w:after="0"/>
      </w:pPr>
      <w:r>
        <w:t xml:space="preserve">Disposal </w:t>
      </w:r>
    </w:p>
    <w:p xmlns:wp14="http://schemas.microsoft.com/office/word/2010/wordml" w:rsidR="0075116C" w:rsidP="0075116C" w:rsidRDefault="0075116C" w14:paraId="5D3E53F2" wp14:textId="77777777">
      <w:pPr>
        <w:pStyle w:val="ListParagraph"/>
        <w:numPr>
          <w:ilvl w:val="0"/>
          <w:numId w:val="11"/>
        </w:numPr>
        <w:spacing w:after="0"/>
      </w:pPr>
      <w:r>
        <w:t xml:space="preserve">Cash register procedures (if applicable) </w:t>
      </w:r>
    </w:p>
    <w:p xmlns:wp14="http://schemas.microsoft.com/office/word/2010/wordml" w:rsidR="006E21F1" w:rsidP="006E21F1" w:rsidRDefault="006E21F1" w14:paraId="5A39BBE3" wp14:textId="77777777">
      <w:pPr>
        <w:pStyle w:val="ListParagraph"/>
        <w:spacing w:after="0"/>
      </w:pPr>
    </w:p>
    <w:p xmlns:wp14="http://schemas.microsoft.com/office/word/2010/wordml" w:rsidRPr="003B5EF2" w:rsidR="0075116C" w:rsidP="0075116C" w:rsidRDefault="003B5EF2" w14:paraId="2AD40A83" wp14:textId="77777777">
      <w:pPr>
        <w:rPr>
          <w:b/>
          <w:sz w:val="28"/>
          <w:szCs w:val="28"/>
          <w:u w:val="single"/>
        </w:rPr>
      </w:pPr>
      <w:r w:rsidRPr="003B5EF2">
        <w:rPr>
          <w:b/>
          <w:sz w:val="28"/>
          <w:szCs w:val="28"/>
          <w:u w:val="single"/>
        </w:rPr>
        <w:t>Responsibilities</w:t>
      </w:r>
    </w:p>
    <w:p xmlns:wp14="http://schemas.microsoft.com/office/word/2010/wordml" w:rsidRPr="003B5EF2" w:rsidR="00430EB8" w:rsidP="00186094" w:rsidRDefault="00430EB8" w14:paraId="573D7F89" wp14:textId="77777777">
      <w:pPr>
        <w:pStyle w:val="ListParagraph"/>
        <w:numPr>
          <w:ilvl w:val="0"/>
          <w:numId w:val="21"/>
        </w:numPr>
        <w:spacing w:after="0"/>
        <w:rPr>
          <w:bCs/>
        </w:rPr>
      </w:pPr>
      <w:r w:rsidRPr="003B5EF2">
        <w:rPr>
          <w:bCs/>
        </w:rPr>
        <w:t xml:space="preserve">Any department accepting payments on behalf of the University for goods or services must have received approval </w:t>
      </w:r>
      <w:r w:rsidR="007C3893">
        <w:rPr>
          <w:bCs/>
        </w:rPr>
        <w:t>from the Tax Compliance Office</w:t>
      </w:r>
      <w:r w:rsidRPr="003B5EF2">
        <w:rPr>
          <w:bCs/>
        </w:rPr>
        <w:t xml:space="preserve"> prior to </w:t>
      </w:r>
      <w:r w:rsidR="00D20C45">
        <w:rPr>
          <w:bCs/>
        </w:rPr>
        <w:t>receiving a</w:t>
      </w:r>
      <w:r w:rsidRPr="003B5EF2">
        <w:rPr>
          <w:bCs/>
        </w:rPr>
        <w:t xml:space="preserve"> merchant account.  </w:t>
      </w:r>
    </w:p>
    <w:p xmlns:wp14="http://schemas.microsoft.com/office/word/2010/wordml" w:rsidR="00180908" w:rsidP="003B5EF2" w:rsidRDefault="0075116C" w14:paraId="69D6A948" wp14:textId="77777777">
      <w:pPr>
        <w:pStyle w:val="ListParagraph"/>
        <w:numPr>
          <w:ilvl w:val="0"/>
          <w:numId w:val="21"/>
        </w:numPr>
        <w:jc w:val="both"/>
      </w:pPr>
      <w:r>
        <w:t>Departments s</w:t>
      </w:r>
      <w:r w:rsidR="00430EB8">
        <w:t>hould designate an employee within th</w:t>
      </w:r>
      <w:r w:rsidR="006E21F1">
        <w:t>e</w:t>
      </w:r>
      <w:r w:rsidR="00430EB8">
        <w:t xml:space="preserve"> department who will have primary authority and responsibility for payment card and/or ecommerce transaction processing within that department. </w:t>
      </w:r>
      <w:r w:rsidR="00180908">
        <w:t>Responsibilities include:</w:t>
      </w:r>
    </w:p>
    <w:p xmlns:wp14="http://schemas.microsoft.com/office/word/2010/wordml" w:rsidR="00180908" w:rsidP="00C94171" w:rsidRDefault="00180908" w14:paraId="66250C0A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</w:pPr>
      <w:r>
        <w:t>D</w:t>
      </w:r>
      <w:r w:rsidR="00430EB8">
        <w:t>epartment</w:t>
      </w:r>
      <w:r>
        <w:t>al compliance</w:t>
      </w:r>
      <w:r w:rsidR="00430EB8">
        <w:t xml:space="preserve"> with the security measures established by the payment card industry and university policies. </w:t>
      </w:r>
    </w:p>
    <w:p xmlns:wp14="http://schemas.microsoft.com/office/word/2010/wordml" w:rsidR="00180908" w:rsidP="00C94171" w:rsidRDefault="00180908" w14:paraId="0914F9E8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</w:pPr>
      <w:r>
        <w:t>Ensuring</w:t>
      </w:r>
      <w:r w:rsidR="00430EB8">
        <w:t xml:space="preserve"> any employee who </w:t>
      </w:r>
      <w:r w:rsidR="006C243D">
        <w:t xml:space="preserve">handles cardholder data </w:t>
      </w:r>
      <w:r w:rsidR="004C7C43">
        <w:t>completes the annual training</w:t>
      </w:r>
      <w:r w:rsidR="00B213F2">
        <w:t xml:space="preserve"> </w:t>
      </w:r>
      <w:r w:rsidR="006C243D">
        <w:t xml:space="preserve">and signs an </w:t>
      </w:r>
      <w:r w:rsidR="00430EB8">
        <w:t>acknowledgement</w:t>
      </w:r>
      <w:r w:rsidR="006C243D">
        <w:t xml:space="preserve"> indicating their understanding of and adherence to the policies</w:t>
      </w:r>
      <w:r w:rsidR="00430EB8">
        <w:t>.</w:t>
      </w:r>
      <w:r w:rsidR="006E21F1">
        <w:t xml:space="preserve">  </w:t>
      </w:r>
    </w:p>
    <w:p xmlns:wp14="http://schemas.microsoft.com/office/word/2010/wordml" w:rsidR="00180908" w:rsidP="00C94171" w:rsidRDefault="00180908" w14:paraId="5E4CA2F1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</w:pPr>
      <w:r>
        <w:t>Completion of the annual PCI-DSS Self-Assessment Questionnaire (SAQ)</w:t>
      </w:r>
    </w:p>
    <w:p xmlns:wp14="http://schemas.microsoft.com/office/word/2010/wordml" w:rsidR="004C7C43" w:rsidP="00C94171" w:rsidRDefault="004C7C43" w14:paraId="0AD12194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</w:pPr>
      <w:r>
        <w:t>Completion of the Annual Merchant Survey</w:t>
      </w:r>
    </w:p>
    <w:p xmlns:wp14="http://schemas.microsoft.com/office/word/2010/wordml" w:rsidR="00430EB8" w:rsidP="006C243D" w:rsidRDefault="006E21F1" w14:paraId="1982CF49" wp14:textId="77777777">
      <w:pPr>
        <w:spacing w:after="0" w:line="240" w:lineRule="auto"/>
        <w:ind w:left="720"/>
        <w:jc w:val="both"/>
      </w:pPr>
      <w:r>
        <w:t>Any changes in this designee must be communicated to the Director of Student Financial Services immediately.</w:t>
      </w:r>
    </w:p>
    <w:p xmlns:wp14="http://schemas.microsoft.com/office/word/2010/wordml" w:rsidR="006C243D" w:rsidP="006C243D" w:rsidRDefault="006C243D" w14:paraId="41C8F396" wp14:textId="77777777">
      <w:pPr>
        <w:spacing w:after="0" w:line="240" w:lineRule="auto"/>
        <w:ind w:left="720"/>
        <w:jc w:val="both"/>
      </w:pPr>
    </w:p>
    <w:p xmlns:wp14="http://schemas.microsoft.com/office/word/2010/wordml" w:rsidR="00C94171" w:rsidP="006C243D" w:rsidRDefault="00180908" w14:paraId="3FD1146A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C94171">
        <w:t xml:space="preserve">Department Head must review and sign the </w:t>
      </w:r>
      <w:r w:rsidR="006C243D">
        <w:t xml:space="preserve">completed </w:t>
      </w:r>
      <w:r w:rsidRPr="00C94171">
        <w:t xml:space="preserve">PCI DSS Self-Assessment Questionnaire (SAQ) </w:t>
      </w:r>
      <w:r w:rsidR="004C7C43">
        <w:t xml:space="preserve">and Merchant Survey </w:t>
      </w:r>
      <w:r w:rsidRPr="00C94171">
        <w:t>on an annual bas</w:t>
      </w:r>
      <w:r w:rsidR="00173946">
        <w:t>is</w:t>
      </w:r>
      <w:r w:rsidR="004C7C43">
        <w:t>.</w:t>
      </w:r>
    </w:p>
    <w:p xmlns:wp14="http://schemas.microsoft.com/office/word/2010/wordml" w:rsidR="006C243D" w:rsidP="006C243D" w:rsidRDefault="006C243D" w14:paraId="72A3D3EC" wp14:textId="77777777">
      <w:pPr>
        <w:pStyle w:val="ListParagraph"/>
        <w:spacing w:after="0" w:line="240" w:lineRule="auto"/>
        <w:jc w:val="both"/>
      </w:pPr>
    </w:p>
    <w:p xmlns:wp14="http://schemas.microsoft.com/office/word/2010/wordml" w:rsidR="003B5EF2" w:rsidP="006C243D" w:rsidRDefault="003B5EF2" w14:paraId="3D6AFA67" wp14:textId="77777777">
      <w:pPr>
        <w:pStyle w:val="ListParagraph"/>
        <w:numPr>
          <w:ilvl w:val="0"/>
          <w:numId w:val="21"/>
        </w:numPr>
        <w:suppressAutoHyphens w:val="0"/>
        <w:spacing w:after="0" w:line="240" w:lineRule="auto"/>
        <w:jc w:val="both"/>
      </w:pPr>
      <w:r w:rsidRPr="006E21F1">
        <w:t xml:space="preserve">Departments may NOT place orders </w:t>
      </w:r>
      <w:r w:rsidR="006C243D">
        <w:t>for</w:t>
      </w:r>
      <w:r w:rsidRPr="006E21F1">
        <w:t xml:space="preserve"> new or replacement payment card terminals. If the payment card processor recommends a replacement terminal, the department may NOT accept one before contacting University Business </w:t>
      </w:r>
      <w:r w:rsidR="00173946">
        <w:t>Services</w:t>
      </w:r>
      <w:r w:rsidRPr="006E21F1">
        <w:t xml:space="preserve"> first. All terminals are procured through the University Business </w:t>
      </w:r>
      <w:r w:rsidR="00173946">
        <w:t>Services</w:t>
      </w:r>
      <w:r w:rsidR="006C243D">
        <w:t xml:space="preserve"> office</w:t>
      </w:r>
      <w:r w:rsidRPr="006E21F1">
        <w:t>. </w:t>
      </w:r>
    </w:p>
    <w:p xmlns:wp14="http://schemas.microsoft.com/office/word/2010/wordml" w:rsidRPr="006E21F1" w:rsidR="00C94171" w:rsidP="009B0617" w:rsidRDefault="00C94171" w14:paraId="0D0B940D" wp14:textId="77777777">
      <w:pPr>
        <w:suppressAutoHyphens w:val="0"/>
        <w:spacing w:after="0" w:line="240" w:lineRule="auto"/>
        <w:contextualSpacing/>
        <w:jc w:val="both"/>
      </w:pPr>
    </w:p>
    <w:p xmlns:wp14="http://schemas.microsoft.com/office/word/2010/wordml" w:rsidR="003B5EF2" w:rsidP="009B0617" w:rsidRDefault="00180908" w14:paraId="1E4E57EE" wp14:textId="77777777">
      <w:pPr>
        <w:pStyle w:val="ListParagraph"/>
        <w:numPr>
          <w:ilvl w:val="0"/>
          <w:numId w:val="21"/>
        </w:numPr>
        <w:suppressAutoHyphens w:val="0"/>
        <w:spacing w:after="0" w:line="240" w:lineRule="auto"/>
        <w:contextualSpacing/>
        <w:jc w:val="both"/>
      </w:pPr>
      <w:r>
        <w:t xml:space="preserve">University </w:t>
      </w:r>
      <w:r w:rsidRPr="006E21F1" w:rsidR="003B5EF2">
        <w:t xml:space="preserve">Business </w:t>
      </w:r>
      <w:r>
        <w:t>Services</w:t>
      </w:r>
      <w:r w:rsidRPr="006E21F1" w:rsidR="003B5EF2">
        <w:t xml:space="preserve"> will obtain merchant numbers for Visa, MasterCard, Discover, and American Express (if the department chooses to accept). All payment card equipment and terminals will be obtained and programmed by the </w:t>
      </w:r>
      <w:r>
        <w:t xml:space="preserve">University </w:t>
      </w:r>
      <w:r w:rsidRPr="006E21F1">
        <w:t xml:space="preserve">Business </w:t>
      </w:r>
      <w:r>
        <w:t>Services</w:t>
      </w:r>
      <w:r w:rsidRPr="006E21F1">
        <w:t xml:space="preserve"> </w:t>
      </w:r>
      <w:r w:rsidRPr="006E21F1" w:rsidR="003B5EF2">
        <w:t>for the department. Equipment costs will be billed to the department.</w:t>
      </w:r>
    </w:p>
    <w:p xmlns:wp14="http://schemas.microsoft.com/office/word/2010/wordml" w:rsidRPr="006E21F1" w:rsidR="00180908" w:rsidP="009B0617" w:rsidRDefault="00180908" w14:paraId="0E27B00A" wp14:textId="77777777">
      <w:pPr>
        <w:pStyle w:val="ListParagraph"/>
        <w:suppressAutoHyphens w:val="0"/>
        <w:spacing w:after="0" w:line="240" w:lineRule="auto"/>
        <w:contextualSpacing/>
        <w:jc w:val="both"/>
      </w:pPr>
    </w:p>
    <w:p xmlns:wp14="http://schemas.microsoft.com/office/word/2010/wordml" w:rsidR="00180908" w:rsidP="009B0617" w:rsidRDefault="00430EB8" w14:paraId="35FAC81A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Departments may only use the services of vendors which have been approved by </w:t>
      </w:r>
      <w:r w:rsidR="00CE38F7">
        <w:t xml:space="preserve">the Merchant Services/PCI Committee </w:t>
      </w:r>
      <w:r>
        <w:t>to process payment card transactions regardless of whether the transaction is point of sale (POS), mail/te</w:t>
      </w:r>
      <w:r w:rsidR="00180908">
        <w:t>lephone order or internet based</w:t>
      </w:r>
    </w:p>
    <w:p xmlns:wp14="http://schemas.microsoft.com/office/word/2010/wordml" w:rsidR="00C94171" w:rsidP="009B0617" w:rsidRDefault="00C94171" w14:paraId="60061E4C" wp14:textId="77777777">
      <w:pPr>
        <w:spacing w:after="0" w:line="240" w:lineRule="auto"/>
        <w:jc w:val="both"/>
      </w:pPr>
    </w:p>
    <w:p xmlns:wp14="http://schemas.microsoft.com/office/word/2010/wordml" w:rsidR="00180908" w:rsidP="009B0617" w:rsidRDefault="00173946" w14:paraId="7886F428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Departments</w:t>
      </w:r>
      <w:r w:rsidR="00081221">
        <w:t xml:space="preserve"> must notify University Business Services</w:t>
      </w:r>
      <w:r w:rsidRPr="006E21F1" w:rsidR="00320A93">
        <w:t xml:space="preserve"> </w:t>
      </w:r>
      <w:r w:rsidRPr="006E21F1" w:rsidR="006E21F1">
        <w:t>of software upgrades and changes related to credit card processing.</w:t>
      </w:r>
    </w:p>
    <w:p xmlns:wp14="http://schemas.microsoft.com/office/word/2010/wordml" w:rsidR="00C94171" w:rsidP="009B0617" w:rsidRDefault="00C94171" w14:paraId="44EAFD9C" wp14:textId="77777777">
      <w:pPr>
        <w:spacing w:after="0" w:line="240" w:lineRule="auto"/>
        <w:ind w:left="360"/>
        <w:jc w:val="both"/>
      </w:pPr>
    </w:p>
    <w:p xmlns:wp14="http://schemas.microsoft.com/office/word/2010/wordml" w:rsidR="00180908" w:rsidP="009B0617" w:rsidRDefault="006E21F1" w14:paraId="1716D6DE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E21F1">
        <w:t>Department</w:t>
      </w:r>
      <w:r w:rsidR="00DA15BE">
        <w:t>s</w:t>
      </w:r>
      <w:r w:rsidRPr="006E21F1">
        <w:t xml:space="preserve"> using POS systems must provide all outward facing IP addresses used in the processing and/or transmitting of credit card data for external scanning. </w:t>
      </w:r>
    </w:p>
    <w:p xmlns:wp14="http://schemas.microsoft.com/office/word/2010/wordml" w:rsidR="00C94171" w:rsidP="009B0617" w:rsidRDefault="00C94171" w14:paraId="4B94D5A5" wp14:textId="77777777">
      <w:pPr>
        <w:pStyle w:val="ListParagraph"/>
        <w:spacing w:after="0" w:line="240" w:lineRule="auto"/>
        <w:jc w:val="both"/>
      </w:pPr>
    </w:p>
    <w:p xmlns:wp14="http://schemas.microsoft.com/office/word/2010/wordml" w:rsidRPr="00245397" w:rsidR="00173946" w:rsidP="009B0617" w:rsidRDefault="006C243D" w14:paraId="7E5D3CF4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highlight w:val="yellow"/>
        </w:rPr>
      </w:pPr>
      <w:r w:rsidRPr="00245397">
        <w:rPr>
          <w:highlight w:val="yellow"/>
        </w:rPr>
        <w:t xml:space="preserve">Payment </w:t>
      </w:r>
      <w:r w:rsidRPr="00245397" w:rsidR="006E21F1">
        <w:rPr>
          <w:highlight w:val="yellow"/>
        </w:rPr>
        <w:t>card numbers must not be transmitted in an insecure manner, such as by e-mail</w:t>
      </w:r>
      <w:r w:rsidRPr="00245397">
        <w:rPr>
          <w:highlight w:val="yellow"/>
        </w:rPr>
        <w:t xml:space="preserve"> or chat</w:t>
      </w:r>
      <w:r w:rsidRPr="00245397" w:rsidR="006E21F1">
        <w:rPr>
          <w:highlight w:val="yellow"/>
        </w:rPr>
        <w:t>, unsecured fax, or through campus mail.</w:t>
      </w:r>
      <w:r w:rsidRPr="00245397">
        <w:rPr>
          <w:highlight w:val="yellow"/>
        </w:rPr>
        <w:t xml:space="preserve">  Similarly, payment card data must not be stored insecurely in any form, such as paper forms or received faxes. </w:t>
      </w:r>
    </w:p>
    <w:p xmlns:wp14="http://schemas.microsoft.com/office/word/2010/wordml" w:rsidR="009B0617" w:rsidP="009B0617" w:rsidRDefault="009B0617" w14:paraId="3DEEC669" wp14:textId="77777777">
      <w:pPr>
        <w:spacing w:after="0" w:line="240" w:lineRule="auto"/>
        <w:jc w:val="both"/>
      </w:pPr>
      <w:bookmarkStart w:name="_GoBack" w:id="0"/>
      <w:bookmarkEnd w:id="0"/>
    </w:p>
    <w:p xmlns:wp14="http://schemas.microsoft.com/office/word/2010/wordml" w:rsidR="00173946" w:rsidP="009B0617" w:rsidRDefault="00173946" w14:paraId="1A1B6BAC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University employees must not direct any cardholder to a </w:t>
      </w:r>
      <w:r w:rsidR="005B725E">
        <w:t>general purpose</w:t>
      </w:r>
      <w:r>
        <w:t xml:space="preserve"> computer to make a payment</w:t>
      </w:r>
    </w:p>
    <w:p xmlns:wp14="http://schemas.microsoft.com/office/word/2010/wordml" w:rsidR="009B0617" w:rsidP="009B0617" w:rsidRDefault="009B0617" w14:paraId="3656B9AB" wp14:textId="77777777">
      <w:pPr>
        <w:pStyle w:val="ListParagraph"/>
        <w:spacing w:after="0" w:line="240" w:lineRule="auto"/>
        <w:jc w:val="both"/>
      </w:pPr>
    </w:p>
    <w:p xmlns:wp14="http://schemas.microsoft.com/office/word/2010/wordml" w:rsidR="00173946" w:rsidP="009B0617" w:rsidRDefault="00173946" w14:paraId="64964017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University employees must not enter </w:t>
      </w:r>
      <w:r w:rsidR="006C243D">
        <w:t>cardholder data (</w:t>
      </w:r>
      <w:r>
        <w:t>CHD</w:t>
      </w:r>
      <w:r w:rsidR="006C243D">
        <w:t>)</w:t>
      </w:r>
      <w:r>
        <w:t xml:space="preserve"> into a general purpose workstation for a customer.</w:t>
      </w:r>
    </w:p>
    <w:p xmlns:wp14="http://schemas.microsoft.com/office/word/2010/wordml" w:rsidR="009B0617" w:rsidP="009B0617" w:rsidRDefault="009B0617" w14:paraId="45FB0818" wp14:textId="77777777">
      <w:pPr>
        <w:spacing w:after="0" w:line="240" w:lineRule="auto"/>
        <w:jc w:val="both"/>
      </w:pPr>
    </w:p>
    <w:p xmlns:wp14="http://schemas.microsoft.com/office/word/2010/wordml" w:rsidRPr="00245397" w:rsidR="00180908" w:rsidP="009B0617" w:rsidRDefault="006E21F1" w14:paraId="36D21386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highlight w:val="yellow"/>
        </w:rPr>
      </w:pPr>
      <w:r w:rsidRPr="00245397">
        <w:rPr>
          <w:highlight w:val="yellow"/>
        </w:rPr>
        <w:t xml:space="preserve">Sensitive cardholder data [i.e., full account number, expiration date, PIN, and card-validation code] must </w:t>
      </w:r>
      <w:r w:rsidRPr="00245397" w:rsidR="006C243D">
        <w:rPr>
          <w:highlight w:val="yellow"/>
        </w:rPr>
        <w:t>never</w:t>
      </w:r>
      <w:r w:rsidRPr="00245397">
        <w:rPr>
          <w:highlight w:val="yellow"/>
        </w:rPr>
        <w:t xml:space="preserve"> be stored in any Univer</w:t>
      </w:r>
      <w:r w:rsidRPr="00245397" w:rsidR="006C243D">
        <w:rPr>
          <w:highlight w:val="yellow"/>
        </w:rPr>
        <w:t>sity system or personal computer after the payment has been authorized</w:t>
      </w:r>
      <w:r w:rsidRPr="00245397">
        <w:rPr>
          <w:highlight w:val="yellow"/>
        </w:rPr>
        <w:t xml:space="preserve">. </w:t>
      </w:r>
    </w:p>
    <w:p xmlns:wp14="http://schemas.microsoft.com/office/word/2010/wordml" w:rsidR="00C94171" w:rsidP="009B0617" w:rsidRDefault="00C94171" w14:paraId="049F31CB" wp14:textId="77777777">
      <w:pPr>
        <w:pStyle w:val="ListParagraph"/>
        <w:spacing w:after="0" w:line="240" w:lineRule="auto"/>
        <w:jc w:val="both"/>
      </w:pPr>
    </w:p>
    <w:p xmlns:wp14="http://schemas.microsoft.com/office/word/2010/wordml" w:rsidR="00C94171" w:rsidP="009B0617" w:rsidRDefault="006E21F1" w14:paraId="64C19C67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E21F1">
        <w:t xml:space="preserve">The entire </w:t>
      </w:r>
      <w:r w:rsidR="006C243D">
        <w:t>payment</w:t>
      </w:r>
      <w:r w:rsidRPr="006E21F1">
        <w:t xml:space="preserve"> card number must not be printed on either the merchant copy or customer copy of</w:t>
      </w:r>
      <w:r w:rsidR="006C243D">
        <w:t xml:space="preserve"> any receipts; it is permissible to include the first six and last four digits only. </w:t>
      </w:r>
      <w:r w:rsidRPr="006E21F1">
        <w:t xml:space="preserve">  Old documents containing the entire card number should be </w:t>
      </w:r>
      <w:r w:rsidR="006C243D">
        <w:t xml:space="preserve">cross-cut </w:t>
      </w:r>
      <w:r w:rsidRPr="006E21F1">
        <w:t xml:space="preserve">shredded or all but the last four digits </w:t>
      </w:r>
      <w:r w:rsidR="002E0D8B">
        <w:t>punched</w:t>
      </w:r>
      <w:r w:rsidRPr="006E21F1">
        <w:t xml:space="preserve"> out</w:t>
      </w:r>
      <w:r w:rsidR="002E0D8B">
        <w:t xml:space="preserve"> with a hole-punch</w:t>
      </w:r>
      <w:r w:rsidRPr="006E21F1">
        <w:t>.</w:t>
      </w:r>
    </w:p>
    <w:p xmlns:wp14="http://schemas.microsoft.com/office/word/2010/wordml" w:rsidR="00180908" w:rsidP="009B0617" w:rsidRDefault="00180908" w14:paraId="53128261" wp14:textId="77777777">
      <w:pPr>
        <w:spacing w:after="0" w:line="240" w:lineRule="auto"/>
        <w:ind w:left="360"/>
        <w:jc w:val="both"/>
      </w:pPr>
    </w:p>
    <w:p xmlns:wp14="http://schemas.microsoft.com/office/word/2010/wordml" w:rsidRPr="006A3EEA" w:rsidR="00C94171" w:rsidP="009B0617" w:rsidRDefault="006E21F1" w14:paraId="1F076426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highlight w:val="yellow"/>
        </w:rPr>
      </w:pPr>
      <w:r w:rsidRPr="006A3EEA">
        <w:rPr>
          <w:highlight w:val="yellow"/>
        </w:rPr>
        <w:t xml:space="preserve">All documentation containing card numbers must be stored in a secure environment until processed.  Secure environments include locked drawers and safes, with limited access to only individuals who are </w:t>
      </w:r>
      <w:r w:rsidRPr="006A3EEA" w:rsidR="002E0D8B">
        <w:rPr>
          <w:highlight w:val="yellow"/>
        </w:rPr>
        <w:t>authorized to handle</w:t>
      </w:r>
      <w:r w:rsidRPr="006A3EEA">
        <w:rPr>
          <w:highlight w:val="yellow"/>
        </w:rPr>
        <w:t xml:space="preserve"> the </w:t>
      </w:r>
      <w:r w:rsidRPr="006A3EEA" w:rsidR="002E0D8B">
        <w:rPr>
          <w:highlight w:val="yellow"/>
        </w:rPr>
        <w:t>payment</w:t>
      </w:r>
      <w:r w:rsidRPr="006A3EEA">
        <w:rPr>
          <w:highlight w:val="yellow"/>
        </w:rPr>
        <w:t xml:space="preserve"> card </w:t>
      </w:r>
      <w:r w:rsidRPr="006A3EEA" w:rsidR="002E0D8B">
        <w:rPr>
          <w:highlight w:val="yellow"/>
        </w:rPr>
        <w:t>data</w:t>
      </w:r>
      <w:r w:rsidRPr="006A3EEA">
        <w:rPr>
          <w:highlight w:val="yellow"/>
        </w:rPr>
        <w:t xml:space="preserve">.  Processing should be done as soon as possible and the </w:t>
      </w:r>
      <w:r w:rsidRPr="006A3EEA" w:rsidR="002E0D8B">
        <w:rPr>
          <w:highlight w:val="yellow"/>
        </w:rPr>
        <w:t>payment</w:t>
      </w:r>
      <w:r w:rsidRPr="006A3EEA">
        <w:rPr>
          <w:highlight w:val="yellow"/>
        </w:rPr>
        <w:t xml:space="preserve"> card number should immediately be </w:t>
      </w:r>
      <w:r w:rsidRPr="006A3EEA" w:rsidR="002E0D8B">
        <w:rPr>
          <w:highlight w:val="yellow"/>
        </w:rPr>
        <w:t>destroyed as described above.</w:t>
      </w:r>
    </w:p>
    <w:p xmlns:wp14="http://schemas.microsoft.com/office/word/2010/wordml" w:rsidR="00180908" w:rsidP="009B0617" w:rsidRDefault="006E21F1" w14:paraId="29D6B04F" wp14:textId="77777777">
      <w:pPr>
        <w:spacing w:after="0" w:line="240" w:lineRule="auto"/>
        <w:jc w:val="both"/>
      </w:pPr>
      <w:r w:rsidRPr="006E21F1">
        <w:t xml:space="preserve"> </w:t>
      </w:r>
    </w:p>
    <w:p xmlns:wp14="http://schemas.microsoft.com/office/word/2010/wordml" w:rsidRPr="00245397" w:rsidR="002E0D8B" w:rsidP="002E0D8B" w:rsidRDefault="002E0D8B" w14:paraId="44520517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highlight w:val="yellow"/>
        </w:rPr>
      </w:pPr>
      <w:r w:rsidRPr="00245397">
        <w:rPr>
          <w:highlight w:val="yellow"/>
        </w:rPr>
        <w:t xml:space="preserve">All media used to store payment card data must be destroyed in a PCI-compliant manner when it is no longer needed for business or legal reasons.  Please see below for the options for proper disposal. </w:t>
      </w:r>
    </w:p>
    <w:p xmlns:wp14="http://schemas.microsoft.com/office/word/2010/wordml" w:rsidRPr="00245397" w:rsidR="002E0D8B" w:rsidP="002E0D8B" w:rsidRDefault="002E0D8B" w14:paraId="2B3951AF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245397">
        <w:rPr>
          <w:rFonts w:asciiTheme="minorHAnsi" w:hAnsiTheme="minorHAnsi"/>
          <w:highlight w:val="yellow"/>
        </w:rPr>
        <w:t>Hard-copy materials must be crosscut shredded, incinerated, or pulped such that there is reasonable assurance the hard-copy materials cannot be reconstructed.</w:t>
      </w:r>
    </w:p>
    <w:p xmlns:wp14="http://schemas.microsoft.com/office/word/2010/wordml" w:rsidRPr="00245397" w:rsidR="002E0D8B" w:rsidP="002E0D8B" w:rsidRDefault="002E0D8B" w14:paraId="07840BAC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245397">
        <w:rPr>
          <w:rFonts w:asciiTheme="minorHAnsi" w:hAnsiTheme="minorHAnsi"/>
          <w:highlight w:val="yellow"/>
        </w:rPr>
        <w:t>Storage containers used for materials that are to be destroyed must be secured.</w:t>
      </w:r>
    </w:p>
    <w:p xmlns:wp14="http://schemas.microsoft.com/office/word/2010/wordml" w:rsidRPr="00245397" w:rsidR="002E0D8B" w:rsidP="002E0D8B" w:rsidRDefault="002E0D8B" w14:paraId="4E4CC51A" wp14:textId="7777777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Theme="minorHAnsi" w:hAnsiTheme="minorHAnsi"/>
          <w:highlight w:val="yellow"/>
        </w:rPr>
      </w:pPr>
      <w:r w:rsidRPr="00245397">
        <w:rPr>
          <w:rFonts w:asciiTheme="minorHAnsi" w:hAnsiTheme="minorHAnsi"/>
          <w:highlight w:val="yellow"/>
        </w:rPr>
        <w:t>Cardholder data on electronic media must be rendered unrecoverable (e.g., via a secure wipe program in accordance with industry-accepted standards for secure deletion, or by physically destroying the media).</w:t>
      </w:r>
    </w:p>
    <w:p xmlns:wp14="http://schemas.microsoft.com/office/word/2010/wordml" w:rsidR="00C94171" w:rsidP="009B0617" w:rsidRDefault="00C94171" w14:paraId="62486C05" wp14:textId="77777777">
      <w:pPr>
        <w:spacing w:after="0" w:line="240" w:lineRule="auto"/>
        <w:jc w:val="both"/>
      </w:pPr>
    </w:p>
    <w:p xmlns:wp14="http://schemas.microsoft.com/office/word/2010/wordml" w:rsidR="00C94171" w:rsidP="009B0617" w:rsidRDefault="006E21F1" w14:paraId="047954EE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E21F1">
        <w:t>Limit access to system components and cardholder data to only those individuals whose job requires such access</w:t>
      </w:r>
    </w:p>
    <w:p xmlns:wp14="http://schemas.microsoft.com/office/word/2010/wordml" w:rsidR="002E0D8B" w:rsidP="002E0D8B" w:rsidRDefault="002E0D8B" w14:paraId="4101652C" wp14:textId="77777777">
      <w:pPr>
        <w:spacing w:after="0" w:line="240" w:lineRule="auto"/>
        <w:ind w:left="360"/>
        <w:jc w:val="both"/>
      </w:pPr>
    </w:p>
    <w:p xmlns:wp14="http://schemas.microsoft.com/office/word/2010/wordml" w:rsidR="00180908" w:rsidP="009B0617" w:rsidRDefault="006E21F1" w14:paraId="263D46E7" wp14:textId="77777777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6E21F1">
        <w:t>Employees who handle or have access to card</w:t>
      </w:r>
      <w:r w:rsidR="002E0D8B">
        <w:t>holder</w:t>
      </w:r>
      <w:r w:rsidRPr="006E21F1">
        <w:t xml:space="preserve"> data are required to participate in </w:t>
      </w:r>
      <w:r w:rsidR="002E0D8B">
        <w:t>annual payment</w:t>
      </w:r>
      <w:r w:rsidRPr="006E21F1">
        <w:t xml:space="preserve"> card security training provided by Business Services</w:t>
      </w:r>
      <w:r w:rsidR="006D3A3D">
        <w:t>/iTech</w:t>
      </w:r>
      <w:r w:rsidRPr="006E21F1">
        <w:t>.</w:t>
      </w:r>
    </w:p>
    <w:p xmlns:wp14="http://schemas.microsoft.com/office/word/2010/wordml" w:rsidR="00C94171" w:rsidP="009B0617" w:rsidRDefault="00C94171" w14:paraId="4B99056E" wp14:textId="77777777">
      <w:pPr>
        <w:spacing w:after="0" w:line="240" w:lineRule="auto"/>
        <w:ind w:left="360"/>
        <w:jc w:val="both"/>
      </w:pPr>
    </w:p>
    <w:p xmlns:wp14="http://schemas.microsoft.com/office/word/2010/wordml" w:rsidR="00180908" w:rsidP="009B0617" w:rsidRDefault="006E21F1" w14:paraId="1BC6FDCB" wp14:textId="6D723F64">
      <w:pPr>
        <w:pStyle w:val="ListParagraph"/>
        <w:numPr>
          <w:ilvl w:val="0"/>
          <w:numId w:val="21"/>
        </w:numPr>
        <w:spacing w:after="0" w:line="240" w:lineRule="auto"/>
        <w:jc w:val="both"/>
        <w:rPr/>
      </w:pPr>
      <w:r w:rsidR="006E21F1">
        <w:rPr/>
        <w:t xml:space="preserve">Units using third-party software, including POS systems, are prohibited from storing complete payment card numbers on </w:t>
      </w:r>
      <w:r w:rsidR="78C4E559">
        <w:rPr/>
        <w:t>university</w:t>
      </w:r>
      <w:r w:rsidR="006E21F1">
        <w:rPr/>
        <w:t xml:space="preserve"> computers at any time. </w:t>
      </w:r>
    </w:p>
    <w:p xmlns:wp14="http://schemas.microsoft.com/office/word/2010/wordml" w:rsidR="00C94171" w:rsidP="009B0617" w:rsidRDefault="00C94171" w14:paraId="1299C43A" wp14:textId="77777777">
      <w:pPr>
        <w:pStyle w:val="ListParagraph"/>
        <w:spacing w:after="0" w:line="240" w:lineRule="auto"/>
        <w:jc w:val="both"/>
      </w:pPr>
    </w:p>
    <w:p xmlns:wp14="http://schemas.microsoft.com/office/word/2010/wordml" w:rsidR="006E21F1" w:rsidP="009B0617" w:rsidRDefault="006E21F1" w14:paraId="3C149101" wp14:textId="38891729">
      <w:pPr>
        <w:pStyle w:val="ListParagraph"/>
        <w:numPr>
          <w:ilvl w:val="0"/>
          <w:numId w:val="21"/>
        </w:numPr>
        <w:spacing w:after="0" w:line="240" w:lineRule="auto"/>
        <w:jc w:val="both"/>
        <w:rPr/>
      </w:pPr>
      <w:r w:rsidR="006E21F1">
        <w:rPr/>
        <w:t xml:space="preserve">Units using third-party software, including POS </w:t>
      </w:r>
      <w:r w:rsidR="0BFA4BD2">
        <w:rPr/>
        <w:t>systems,</w:t>
      </w:r>
      <w:r w:rsidR="006E21F1">
        <w:rPr/>
        <w:t xml:space="preserve"> must keep documentation of all agreements and configurations related to the software for audits or in case of an emergency. </w:t>
      </w:r>
    </w:p>
    <w:p xmlns:wp14="http://schemas.microsoft.com/office/word/2010/wordml" w:rsidR="006E21F1" w:rsidP="00C94171" w:rsidRDefault="006E21F1" w14:paraId="4DDBEF00" wp14:textId="77777777">
      <w:pPr>
        <w:suppressAutoHyphens w:val="0"/>
        <w:spacing w:after="0" w:line="240" w:lineRule="auto"/>
        <w:contextualSpacing/>
        <w:jc w:val="both"/>
      </w:pPr>
    </w:p>
    <w:p xmlns:wp14="http://schemas.microsoft.com/office/word/2010/wordml" w:rsidRPr="006E21F1" w:rsidR="006E21F1" w:rsidP="00C94171" w:rsidRDefault="006E21F1" w14:paraId="3461D779" wp14:textId="77777777">
      <w:pPr>
        <w:suppressAutoHyphens w:val="0"/>
        <w:spacing w:after="0" w:line="240" w:lineRule="auto"/>
        <w:contextualSpacing/>
        <w:jc w:val="both"/>
      </w:pPr>
    </w:p>
    <w:p xmlns:wp14="http://schemas.microsoft.com/office/word/2010/wordml" w:rsidRPr="006E21F1" w:rsidR="006E21F1" w:rsidP="00C94171" w:rsidRDefault="006E21F1" w14:paraId="3CF2D8B6" wp14:textId="77777777">
      <w:pPr>
        <w:suppressAutoHyphens w:val="0"/>
        <w:spacing w:after="0" w:line="240" w:lineRule="auto"/>
        <w:contextualSpacing/>
        <w:jc w:val="both"/>
      </w:pPr>
    </w:p>
    <w:p xmlns:wp14="http://schemas.microsoft.com/office/word/2010/wordml" w:rsidR="00F06A4A" w:rsidP="003E4BED" w:rsidRDefault="00F06A4A" w14:paraId="6ABE9264" wp14:textId="77777777">
      <w:pPr>
        <w:suppressAutoHyphens w:val="0"/>
        <w:spacing w:after="0" w:line="240" w:lineRule="auto"/>
        <w:contextualSpacing/>
        <w:jc w:val="both"/>
      </w:pPr>
      <w:r>
        <w:t>In case of a s</w:t>
      </w:r>
      <w:r w:rsidRPr="00225E1F" w:rsidR="006E21F1">
        <w:t>uspected compromise or theft of credit card data</w:t>
      </w:r>
      <w:r>
        <w:t>:</w:t>
      </w:r>
    </w:p>
    <w:p xmlns:wp14="http://schemas.microsoft.com/office/word/2010/wordml" w:rsidR="00F06A4A" w:rsidP="00F06A4A" w:rsidRDefault="00187E91" w14:paraId="07ADD47F" wp14:textId="77777777">
      <w:pPr>
        <w:pStyle w:val="ListParagraph"/>
        <w:numPr>
          <w:ilvl w:val="0"/>
          <w:numId w:val="22"/>
        </w:numPr>
        <w:suppressAutoHyphens w:val="0"/>
        <w:spacing w:after="0" w:line="240" w:lineRule="auto"/>
        <w:contextualSpacing/>
        <w:jc w:val="both"/>
      </w:pPr>
      <w:r>
        <w:t>Immediately c</w:t>
      </w:r>
      <w:r w:rsidR="00F06A4A">
        <w:t xml:space="preserve">ontact </w:t>
      </w:r>
      <w:r w:rsidR="003E4BED">
        <w:t xml:space="preserve">the </w:t>
      </w:r>
      <w:r w:rsidRPr="00225E1F" w:rsidR="006E21F1">
        <w:t>iTech Helpdesk by phone (601.266.4357) or by email (</w:t>
      </w:r>
      <w:hyperlink w:history="1" r:id="rId7">
        <w:r w:rsidRPr="00225E1F" w:rsidR="006E21F1">
          <w:t>helpdesk@usm.edu</w:t>
        </w:r>
      </w:hyperlink>
      <w:r w:rsidRPr="00225E1F" w:rsidR="006E21F1">
        <w:t>)</w:t>
      </w:r>
      <w:r w:rsidR="003E4BED">
        <w:t xml:space="preserve"> </w:t>
      </w:r>
    </w:p>
    <w:p xmlns:wp14="http://schemas.microsoft.com/office/word/2010/wordml" w:rsidRPr="00225E1F" w:rsidR="006E21F1" w:rsidP="00F06A4A" w:rsidRDefault="00F06A4A" w14:paraId="4BCAAB56" wp14:textId="77777777">
      <w:pPr>
        <w:pStyle w:val="ListParagraph"/>
        <w:numPr>
          <w:ilvl w:val="0"/>
          <w:numId w:val="22"/>
        </w:numPr>
        <w:suppressAutoHyphens w:val="0"/>
        <w:spacing w:after="0" w:line="240" w:lineRule="auto"/>
        <w:contextualSpacing/>
        <w:jc w:val="both"/>
      </w:pPr>
      <w:r>
        <w:t xml:space="preserve">Execute </w:t>
      </w:r>
      <w:r w:rsidR="003E4BED">
        <w:t xml:space="preserve">the University’s Security Incident Response Plan </w:t>
      </w:r>
    </w:p>
    <w:p xmlns:wp14="http://schemas.microsoft.com/office/word/2010/wordml" w:rsidRPr="00225E1F" w:rsidR="006E21F1" w:rsidP="00225E1F" w:rsidRDefault="006E21F1" w14:paraId="0FB78278" wp14:textId="77777777">
      <w:pPr>
        <w:suppressAutoHyphens w:val="0"/>
        <w:spacing w:after="0" w:line="240" w:lineRule="auto"/>
        <w:contextualSpacing/>
        <w:jc w:val="both"/>
        <w:rPr>
          <w:highlight w:val="yellow"/>
        </w:rPr>
      </w:pPr>
    </w:p>
    <w:p xmlns:wp14="http://schemas.microsoft.com/office/word/2010/wordml" w:rsidRPr="006E21F1" w:rsidR="006E21F1" w:rsidP="0075116C" w:rsidRDefault="006E21F1" w14:paraId="1FC39945" wp14:textId="77777777">
      <w:pPr>
        <w:jc w:val="both"/>
      </w:pPr>
    </w:p>
    <w:p xmlns:wp14="http://schemas.microsoft.com/office/word/2010/wordml" w:rsidR="00CE38F7" w:rsidP="00CE38F7" w:rsidRDefault="00CE38F7" w14:paraId="0562CB0E" wp14:textId="77777777">
      <w:pPr>
        <w:spacing w:after="0"/>
      </w:pPr>
    </w:p>
    <w:p xmlns:wp14="http://schemas.microsoft.com/office/word/2010/wordml" w:rsidR="00CE38F7" w:rsidP="00CE38F7" w:rsidRDefault="00CE38F7" w14:paraId="34CE0A41" wp14:textId="77777777">
      <w:pPr>
        <w:spacing w:after="0"/>
      </w:pPr>
    </w:p>
    <w:p xmlns:wp14="http://schemas.microsoft.com/office/word/2010/wordml" w:rsidR="00C478D7" w:rsidP="005D2570" w:rsidRDefault="00C478D7" w14:paraId="62EBF3C5" wp14:textId="77777777">
      <w:pPr>
        <w:jc w:val="both"/>
      </w:pPr>
    </w:p>
    <w:p xmlns:wp14="http://schemas.microsoft.com/office/word/2010/wordml" w:rsidR="00D3721E" w:rsidRDefault="00D3721E" w14:paraId="6D98A12B" wp14:textId="77777777">
      <w:pPr>
        <w:suppressAutoHyphens w:val="0"/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="00D3721E" w:rsidRDefault="00D3721E" w14:paraId="2946DB82" wp14:textId="77777777">
      <w:pPr>
        <w:suppressAutoHyphens w:val="0"/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FE1390" w:rsidR="00C478D7" w:rsidP="00FE1390" w:rsidRDefault="00C478D7" w14:paraId="5997CC1D" wp14:textId="77777777">
      <w:pPr>
        <w:suppressAutoHyphens w:val="0"/>
        <w:spacing w:after="0" w:line="240" w:lineRule="auto"/>
        <w:rPr>
          <w:b/>
          <w:sz w:val="28"/>
          <w:szCs w:val="28"/>
        </w:rPr>
      </w:pPr>
    </w:p>
    <w:sectPr w:rsidRPr="00FE1390" w:rsidR="00C478D7" w:rsidSect="00FE1390">
      <w:pgSz w:w="12240" w:h="15840" w:orient="portrait"/>
      <w:pgMar w:top="126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9012D71"/>
    <w:multiLevelType w:val="hybridMultilevel"/>
    <w:tmpl w:val="1B2A95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F43C0"/>
    <w:multiLevelType w:val="hybridMultilevel"/>
    <w:tmpl w:val="B2CCC5B2"/>
    <w:lvl w:ilvl="0" w:tplc="04090001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4" w15:restartNumberingAfterBreak="0">
    <w:nsid w:val="293E7410"/>
    <w:multiLevelType w:val="hybridMultilevel"/>
    <w:tmpl w:val="B5F87800"/>
    <w:lvl w:ilvl="0" w:tplc="04090001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5" w15:restartNumberingAfterBreak="0">
    <w:nsid w:val="389D117A"/>
    <w:multiLevelType w:val="hybridMultilevel"/>
    <w:tmpl w:val="C5CA63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B77805"/>
    <w:multiLevelType w:val="hybridMultilevel"/>
    <w:tmpl w:val="2F1CB578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7AD0142"/>
    <w:multiLevelType w:val="hybridMultilevel"/>
    <w:tmpl w:val="D2963FE8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8" w15:restartNumberingAfterBreak="0">
    <w:nsid w:val="4AA67A79"/>
    <w:multiLevelType w:val="hybridMultilevel"/>
    <w:tmpl w:val="70A4D4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070AD2"/>
    <w:multiLevelType w:val="hybridMultilevel"/>
    <w:tmpl w:val="251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602755"/>
    <w:multiLevelType w:val="hybridMultilevel"/>
    <w:tmpl w:val="FD2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7B51C0"/>
    <w:multiLevelType w:val="hybridMultilevel"/>
    <w:tmpl w:val="D85003C2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0"/>
  </w:num>
  <w:num w:numId="16">
    <w:abstractNumId w:val="17"/>
  </w:num>
  <w:num w:numId="17">
    <w:abstractNumId w:val="15"/>
  </w:num>
  <w:num w:numId="18">
    <w:abstractNumId w:val="13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E9"/>
    <w:rsid w:val="0000695D"/>
    <w:rsid w:val="00081221"/>
    <w:rsid w:val="000F21BE"/>
    <w:rsid w:val="00117BBF"/>
    <w:rsid w:val="001462FA"/>
    <w:rsid w:val="00173946"/>
    <w:rsid w:val="00180908"/>
    <w:rsid w:val="00186094"/>
    <w:rsid w:val="00187E91"/>
    <w:rsid w:val="00225E1F"/>
    <w:rsid w:val="00245397"/>
    <w:rsid w:val="00284E1B"/>
    <w:rsid w:val="002E0D8B"/>
    <w:rsid w:val="00320A93"/>
    <w:rsid w:val="003B5EF2"/>
    <w:rsid w:val="003D670F"/>
    <w:rsid w:val="003E395E"/>
    <w:rsid w:val="003E4BED"/>
    <w:rsid w:val="00430EB8"/>
    <w:rsid w:val="004326A4"/>
    <w:rsid w:val="00454CAA"/>
    <w:rsid w:val="004B11CC"/>
    <w:rsid w:val="004C7C43"/>
    <w:rsid w:val="00502A2D"/>
    <w:rsid w:val="005B725E"/>
    <w:rsid w:val="005C5F69"/>
    <w:rsid w:val="005D2570"/>
    <w:rsid w:val="00633540"/>
    <w:rsid w:val="006A3EEA"/>
    <w:rsid w:val="006C243D"/>
    <w:rsid w:val="006D3A3D"/>
    <w:rsid w:val="006E21F1"/>
    <w:rsid w:val="00716405"/>
    <w:rsid w:val="0075116C"/>
    <w:rsid w:val="007C3893"/>
    <w:rsid w:val="008558A3"/>
    <w:rsid w:val="008B5809"/>
    <w:rsid w:val="00964195"/>
    <w:rsid w:val="00990BF2"/>
    <w:rsid w:val="009B0617"/>
    <w:rsid w:val="00A921F7"/>
    <w:rsid w:val="00AD4AE4"/>
    <w:rsid w:val="00B213F2"/>
    <w:rsid w:val="00B67167"/>
    <w:rsid w:val="00B94673"/>
    <w:rsid w:val="00C22AAD"/>
    <w:rsid w:val="00C478D7"/>
    <w:rsid w:val="00C50DCD"/>
    <w:rsid w:val="00C94171"/>
    <w:rsid w:val="00CA11C6"/>
    <w:rsid w:val="00CB62B9"/>
    <w:rsid w:val="00CE38F7"/>
    <w:rsid w:val="00D14D14"/>
    <w:rsid w:val="00D20C45"/>
    <w:rsid w:val="00D3721E"/>
    <w:rsid w:val="00DA15BE"/>
    <w:rsid w:val="00DD279B"/>
    <w:rsid w:val="00DE2181"/>
    <w:rsid w:val="00ED12B1"/>
    <w:rsid w:val="00F06A4A"/>
    <w:rsid w:val="00F459E9"/>
    <w:rsid w:val="00FA6784"/>
    <w:rsid w:val="00FE1390"/>
    <w:rsid w:val="00FF0DAC"/>
    <w:rsid w:val="0BFA4BD2"/>
    <w:rsid w:val="237BA47D"/>
    <w:rsid w:val="66E1815C"/>
    <w:rsid w:val="78C4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663A4"/>
  <w15:docId w15:val="{8C91C63E-9E43-4FEB-A7D5-2201EEF6F8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Arial Unicode MS" w:cs="Calibri"/>
      <w:kern w:val="1"/>
      <w:sz w:val="22"/>
      <w:szCs w:val="22"/>
      <w:lang w:val="en-US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stLabel1" w:customStyle="1">
    <w:name w:val="ListLabel 1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12B1"/>
    <w:rPr>
      <w:rFonts w:ascii="Segoe UI" w:hAnsi="Segoe UI" w:eastAsia="Arial Unicode MS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helpdesk@usm.e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http://www.usm.edu/sites/default/files/groups/office-university-communications/images/univv123pc.png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Nelnet,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mrdefault</dc:creator>
  <lastModifiedBy>Latasha Peters</lastModifiedBy>
  <revision>44</revision>
  <lastPrinted>2016-04-06T13:42:00.0000000Z</lastPrinted>
  <dcterms:created xsi:type="dcterms:W3CDTF">2015-04-27T20:08:00.0000000Z</dcterms:created>
  <dcterms:modified xsi:type="dcterms:W3CDTF">2023-09-07T13:55:47.2821370Z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