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87C32" w14:textId="77777777" w:rsidR="005B2556" w:rsidRPr="005B2556" w:rsidRDefault="005B2556" w:rsidP="005B2556">
      <w:pPr>
        <w:spacing w:before="360" w:after="240" w:line="240" w:lineRule="auto"/>
        <w:jc w:val="center"/>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Summer and Fall 2021 Course Descriptions</w:t>
      </w:r>
    </w:p>
    <w:p w14:paraId="34617397" w14:textId="77777777" w:rsidR="005B2556" w:rsidRPr="005B2556" w:rsidRDefault="005B2556" w:rsidP="005B2556">
      <w:pPr>
        <w:spacing w:before="240" w:after="240" w:line="240" w:lineRule="auto"/>
        <w:jc w:val="center"/>
        <w:outlineLvl w:val="2"/>
        <w:rPr>
          <w:rFonts w:ascii="var(--serif)" w:eastAsia="Times New Roman" w:hAnsi="var(--serif)" w:cs="Times New Roman"/>
          <w:b/>
          <w:bCs/>
          <w:color w:val="000000"/>
          <w:sz w:val="27"/>
          <w:szCs w:val="27"/>
        </w:rPr>
      </w:pPr>
      <w:r w:rsidRPr="005B2556">
        <w:rPr>
          <w:rFonts w:ascii="var(--serif)" w:eastAsia="Times New Roman" w:hAnsi="var(--serif)" w:cs="Times New Roman"/>
          <w:b/>
          <w:bCs/>
          <w:color w:val="000000"/>
          <w:sz w:val="27"/>
          <w:szCs w:val="27"/>
        </w:rPr>
        <w:t> </w:t>
      </w:r>
    </w:p>
    <w:p w14:paraId="199C3123" w14:textId="77777777" w:rsidR="005B2556" w:rsidRPr="005B2556" w:rsidRDefault="005B2556" w:rsidP="005B2556">
      <w:pPr>
        <w:spacing w:before="240" w:after="240" w:line="240" w:lineRule="auto"/>
        <w:jc w:val="center"/>
        <w:outlineLvl w:val="2"/>
        <w:rPr>
          <w:rFonts w:ascii="var(--serif)" w:eastAsia="Times New Roman" w:hAnsi="var(--serif)" w:cs="Times New Roman"/>
          <w:b/>
          <w:bCs/>
          <w:color w:val="000000"/>
          <w:sz w:val="27"/>
          <w:szCs w:val="27"/>
        </w:rPr>
      </w:pPr>
      <w:r w:rsidRPr="005B2556">
        <w:rPr>
          <w:rFonts w:ascii="var(--serif)" w:eastAsia="Times New Roman" w:hAnsi="var(--serif)" w:cs="Times New Roman"/>
          <w:b/>
          <w:bCs/>
          <w:i/>
          <w:iCs/>
          <w:color w:val="000000"/>
          <w:sz w:val="27"/>
          <w:szCs w:val="27"/>
        </w:rPr>
        <w:t>Summer 2021</w:t>
      </w:r>
    </w:p>
    <w:p w14:paraId="1815D7EB" w14:textId="1700CDD6"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drawing>
          <wp:inline distT="0" distB="0" distL="0" distR="0" wp14:anchorId="254BBA7B" wp14:editId="1728E5B3">
            <wp:extent cx="4762500" cy="2675890"/>
            <wp:effectExtent l="0" t="0" r="0" b="0"/>
            <wp:docPr id="21" name="Picture 21" descr="E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 2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223</w:t>
      </w:r>
    </w:p>
    <w:p w14:paraId="190921CC"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Creative Writing 1: Mixed Genre</w:t>
      </w:r>
    </w:p>
    <w:p w14:paraId="0E625745"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Adam Clay</w:t>
      </w:r>
    </w:p>
    <w:p w14:paraId="6DBAA278"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ONLINE</w:t>
      </w:r>
    </w:p>
    <w:p w14:paraId="2BF7BC79"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ENG 223 is an introduction to multi-genre creative writing with an emphasis on fiction, poetry, and creative nonfiction. Students will study craft-based guides, read published works, and draft creative work in various genres. The class will place an emphasis on generative writing exercises modeled on published work; students will also take part in peer-review workshops to develop and revise their writing. The class will culminate in the submission of a final portfolio that includes revised creative work, along with a critical introduction reflecting on the writing process as it applies to fiction, poetry, and creative nonfiction. </w:t>
      </w:r>
    </w:p>
    <w:p w14:paraId="5A063091"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3A8216DF" w14:textId="6485A970"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lastRenderedPageBreak/>
        <w:t>ENG 319</w:t>
      </w:r>
      <w:r w:rsidRPr="005B2556">
        <w:rPr>
          <w:rFonts w:ascii="var(--serif)" w:eastAsia="Times New Roman" w:hAnsi="var(--serif)" w:cs="Times New Roman"/>
          <w:b/>
          <w:bCs/>
          <w:noProof/>
          <w:color w:val="000000"/>
          <w:sz w:val="36"/>
          <w:szCs w:val="36"/>
        </w:rPr>
        <w:drawing>
          <wp:inline distT="0" distB="0" distL="0" distR="0" wp14:anchorId="653DC744" wp14:editId="57F81D37">
            <wp:extent cx="4762500" cy="2675890"/>
            <wp:effectExtent l="0" t="0" r="0" b="0"/>
            <wp:docPr id="20" name="Picture 20" descr="E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 3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2BB44DF1"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Literary Study of the Bible </w:t>
      </w:r>
    </w:p>
    <w:p w14:paraId="3F1EE3BA"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Damon Franke </w:t>
      </w:r>
    </w:p>
    <w:p w14:paraId="1F1333DC"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ONLINE </w:t>
      </w:r>
    </w:p>
    <w:p w14:paraId="3EB937DE"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Course Objectives: </w:t>
      </w:r>
    </w:p>
    <w:p w14:paraId="62A11B49"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Rich storytelling, vivid imagery, pithy turns of phrase, and philosophical paradoxes characterize the power and style of the Bible.  These elements are textual and literary elements of the written word.  This course will focus on the analysis of various literary forms in the Bible.  The class will examine how narrative, wisdom, prophetic and apocalyptic literature appear in the Old Testament, the Apocrypha, and the New Testament. An important topic throughout our discussion of the Bible will be the nature of canon formation.  Students therefore are required to use the </w:t>
      </w:r>
      <w:r w:rsidRPr="005B2556">
        <w:rPr>
          <w:rFonts w:ascii="Arial" w:eastAsia="Times New Roman" w:hAnsi="Arial" w:cs="Arial"/>
          <w:color w:val="000000"/>
          <w:sz w:val="30"/>
          <w:szCs w:val="30"/>
          <w:u w:val="single"/>
        </w:rPr>
        <w:t>Oxford Study Bible with Apocryph</w:t>
      </w:r>
      <w:r w:rsidRPr="005B2556">
        <w:rPr>
          <w:rFonts w:ascii="Arial" w:eastAsia="Times New Roman" w:hAnsi="Arial" w:cs="Arial"/>
          <w:color w:val="000000"/>
          <w:sz w:val="30"/>
          <w:szCs w:val="30"/>
        </w:rPr>
        <w:t xml:space="preserve">a.  Students can bring in other versions of the Bible to supplement class discussion.  Recent films on reserve at the library will be assigned </w:t>
      </w:r>
      <w:proofErr w:type="gramStart"/>
      <w:r w:rsidRPr="005B2556">
        <w:rPr>
          <w:rFonts w:ascii="Arial" w:eastAsia="Times New Roman" w:hAnsi="Arial" w:cs="Arial"/>
          <w:color w:val="000000"/>
          <w:sz w:val="30"/>
          <w:szCs w:val="30"/>
        </w:rPr>
        <w:t>in order to</w:t>
      </w:r>
      <w:proofErr w:type="gramEnd"/>
      <w:r w:rsidRPr="005B2556">
        <w:rPr>
          <w:rFonts w:ascii="Arial" w:eastAsia="Times New Roman" w:hAnsi="Arial" w:cs="Arial"/>
          <w:color w:val="000000"/>
          <w:sz w:val="30"/>
          <w:szCs w:val="30"/>
        </w:rPr>
        <w:t xml:space="preserve"> discuss the diverse manifestations of Christian allegory. </w:t>
      </w:r>
    </w:p>
    <w:p w14:paraId="59A09EFA"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Required Texts:  </w:t>
      </w:r>
    </w:p>
    <w:p w14:paraId="01FFC666"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The following books are available at the university bookstore: </w:t>
      </w:r>
    </w:p>
    <w:p w14:paraId="4C6AE7E8"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u w:val="single"/>
        </w:rPr>
        <w:lastRenderedPageBreak/>
        <w:t>The Oxford Study Bible with Apocrypha </w:t>
      </w:r>
    </w:p>
    <w:p w14:paraId="3C4F999B"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Rental or Streaming Access of the films </w:t>
      </w:r>
      <w:r w:rsidRPr="005B2556">
        <w:rPr>
          <w:rFonts w:ascii="Arial" w:eastAsia="Times New Roman" w:hAnsi="Arial" w:cs="Arial"/>
          <w:color w:val="000000"/>
          <w:sz w:val="30"/>
          <w:szCs w:val="30"/>
          <w:u w:val="single"/>
        </w:rPr>
        <w:t>The Matrix</w:t>
      </w:r>
      <w:r w:rsidRPr="005B2556">
        <w:rPr>
          <w:rFonts w:ascii="Arial" w:eastAsia="Times New Roman" w:hAnsi="Arial" w:cs="Arial"/>
          <w:color w:val="000000"/>
          <w:sz w:val="30"/>
          <w:szCs w:val="30"/>
        </w:rPr>
        <w:t>, </w:t>
      </w:r>
      <w:r w:rsidRPr="005B2556">
        <w:rPr>
          <w:rFonts w:ascii="Arial" w:eastAsia="Times New Roman" w:hAnsi="Arial" w:cs="Arial"/>
          <w:color w:val="000000"/>
          <w:sz w:val="30"/>
          <w:szCs w:val="30"/>
          <w:u w:val="single"/>
        </w:rPr>
        <w:t>Cool Hand Luke</w:t>
      </w:r>
      <w:r w:rsidRPr="005B2556">
        <w:rPr>
          <w:rFonts w:ascii="Arial" w:eastAsia="Times New Roman" w:hAnsi="Arial" w:cs="Arial"/>
          <w:color w:val="000000"/>
          <w:sz w:val="30"/>
          <w:szCs w:val="30"/>
        </w:rPr>
        <w:t>, and </w:t>
      </w:r>
      <w:r w:rsidRPr="005B2556">
        <w:rPr>
          <w:rFonts w:ascii="Arial" w:eastAsia="Times New Roman" w:hAnsi="Arial" w:cs="Arial"/>
          <w:color w:val="000000"/>
          <w:sz w:val="30"/>
          <w:szCs w:val="30"/>
          <w:u w:val="single"/>
        </w:rPr>
        <w:t>One Flew Over the Cuckoo’s Nest </w:t>
      </w:r>
    </w:p>
    <w:p w14:paraId="54C4B67C"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19999176"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336E0A40" w14:textId="77777777" w:rsidR="005B2556" w:rsidRPr="005B2556" w:rsidRDefault="005B2556" w:rsidP="005B2556">
      <w:pPr>
        <w:spacing w:before="240" w:after="240" w:line="240" w:lineRule="auto"/>
        <w:jc w:val="center"/>
        <w:outlineLvl w:val="2"/>
        <w:rPr>
          <w:rFonts w:ascii="var(--serif)" w:eastAsia="Times New Roman" w:hAnsi="var(--serif)" w:cs="Times New Roman"/>
          <w:b/>
          <w:bCs/>
          <w:color w:val="000000"/>
          <w:sz w:val="27"/>
          <w:szCs w:val="27"/>
        </w:rPr>
      </w:pPr>
      <w:r w:rsidRPr="005B2556">
        <w:rPr>
          <w:rFonts w:ascii="var(--serif)" w:eastAsia="Times New Roman" w:hAnsi="var(--serif)" w:cs="Times New Roman"/>
          <w:b/>
          <w:bCs/>
          <w:i/>
          <w:iCs/>
          <w:color w:val="000000"/>
          <w:sz w:val="27"/>
          <w:szCs w:val="27"/>
        </w:rPr>
        <w:t>Fall 2021</w:t>
      </w:r>
    </w:p>
    <w:p w14:paraId="1F8BFD70"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58867067" w14:textId="10D63CD7"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drawing>
          <wp:inline distT="0" distB="0" distL="0" distR="0" wp14:anchorId="0E125997" wp14:editId="42F374D7">
            <wp:extent cx="4762500" cy="2675890"/>
            <wp:effectExtent l="0" t="0" r="0" b="0"/>
            <wp:docPr id="19" name="Picture 19" descr="E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 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200</w:t>
      </w:r>
    </w:p>
    <w:p w14:paraId="3892FA88"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Introduction to Drama</w:t>
      </w:r>
    </w:p>
    <w:p w14:paraId="79A20872"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Alexandra Valint</w:t>
      </w:r>
    </w:p>
    <w:p w14:paraId="582B03D6"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11:00-12:15</w:t>
      </w:r>
    </w:p>
    <w:p w14:paraId="053EFD7D"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The primary goal of this course is to make you more confident, enthusiastic, and sophisticated readers of drama. We will explore a diverse selection of plays, from Ancient Greek tragedy to contemporary Pulitzer-Prize winners. We will pay particular attention to how these plays engage with issues of gender, race, love, and war, as well as to how they represent the struggles of individuals, relationships, and societies. We will practice analyzing and articulating </w:t>
      </w:r>
      <w:r w:rsidRPr="005B2556">
        <w:rPr>
          <w:rFonts w:ascii="Arial" w:eastAsia="Times New Roman" w:hAnsi="Arial" w:cs="Arial"/>
          <w:color w:val="000000"/>
          <w:sz w:val="30"/>
          <w:szCs w:val="30"/>
        </w:rPr>
        <w:lastRenderedPageBreak/>
        <w:t>how plays work--how they are structured, how they affect us, what they mean, their limitations and possibilities. Whether you are a seasoned theatre practitioner or a new visitor to the world of drama, you are welcome in this class. Together we will experience the wisdom and wonder of theatre. We will likely read plays by Edward Albee, Aziza Barnes, Euripides, Lin-Manuel Miranda, Lynn Nottage, William Shakespeare, Paula Vogel, Oscar Wilde, and Tennessee Williams. </w:t>
      </w:r>
    </w:p>
    <w:p w14:paraId="5C8F6898"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04AC744D" w14:textId="0C7F7AA9"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ENG 201</w:t>
      </w:r>
      <w:r w:rsidRPr="005B2556">
        <w:rPr>
          <w:rFonts w:ascii="var(--serif)" w:eastAsia="Times New Roman" w:hAnsi="var(--serif)" w:cs="Times New Roman"/>
          <w:b/>
          <w:bCs/>
          <w:noProof/>
          <w:color w:val="000000"/>
          <w:sz w:val="36"/>
          <w:szCs w:val="36"/>
        </w:rPr>
        <w:drawing>
          <wp:inline distT="0" distB="0" distL="0" distR="0" wp14:anchorId="7103C02F" wp14:editId="40F4DAED">
            <wp:extent cx="4762500" cy="2675890"/>
            <wp:effectExtent l="0" t="0" r="0" b="0"/>
            <wp:docPr id="18" name="Picture 18" descr="E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 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66F662B8"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Introduction to Fiction</w:t>
      </w:r>
    </w:p>
    <w:p w14:paraId="15362841"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Jennifer Brewington</w:t>
      </w:r>
    </w:p>
    <w:p w14:paraId="59B2FF4F"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1:00 - 2:15</w:t>
      </w:r>
    </w:p>
    <w:p w14:paraId="42F94E4B"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ENG 201 focuses on the various types and modes of fiction, both short stories and novels. The readings we will explore in this course are considered innovative contributions to fiction. We will look at how writers use techniques like characterization, fictional time and place, and voice to develop a range of storytelling methods. This course will provide students with a strong foundation for understanding the craft of fiction. Students will be asked to engage critically and aesthetically with weekly readings. Authors will include, among others, James </w:t>
      </w:r>
      <w:r w:rsidRPr="005B2556">
        <w:rPr>
          <w:rFonts w:ascii="Arial" w:eastAsia="Times New Roman" w:hAnsi="Arial" w:cs="Arial"/>
          <w:color w:val="000000"/>
          <w:sz w:val="30"/>
          <w:szCs w:val="30"/>
        </w:rPr>
        <w:lastRenderedPageBreak/>
        <w:t>Baldwin, Lauren Groff, and Kazuo Ishiguro. Good literature is often subversive, strange, and challenging. We will use this course as a space to find meaning, locate patterns, and draw connections between authors and the stories they tell. </w:t>
      </w:r>
    </w:p>
    <w:p w14:paraId="713D6FDB"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5CF911E1" w14:textId="07948B3F"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drawing>
          <wp:inline distT="0" distB="0" distL="0" distR="0" wp14:anchorId="37F0AC1B" wp14:editId="5F48D15B">
            <wp:extent cx="4762500" cy="2675890"/>
            <wp:effectExtent l="0" t="0" r="0" b="0"/>
            <wp:docPr id="17" name="Picture 17" descr="E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 2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203</w:t>
      </w:r>
    </w:p>
    <w:p w14:paraId="5A2FBF2D"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World Literature</w:t>
      </w:r>
    </w:p>
    <w:p w14:paraId="74C60466"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 xml:space="preserve">Dr. Jameela </w:t>
      </w:r>
      <w:proofErr w:type="spellStart"/>
      <w:r w:rsidRPr="005B2556">
        <w:rPr>
          <w:rFonts w:ascii="var(--serif)" w:eastAsia="Times New Roman" w:hAnsi="var(--serif)" w:cs="Times New Roman"/>
          <w:b/>
          <w:bCs/>
          <w:color w:val="000000"/>
          <w:sz w:val="30"/>
          <w:szCs w:val="30"/>
        </w:rPr>
        <w:t>Lares</w:t>
      </w:r>
      <w:proofErr w:type="spellEnd"/>
    </w:p>
    <w:p w14:paraId="6BA3C233"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MW 8:00-9:15</w:t>
      </w:r>
    </w:p>
    <w:p w14:paraId="045E1631"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This course is intended to acquaint you with significant figures and works of world literature, beginning with early lyric poetry in China and </w:t>
      </w:r>
      <w:r w:rsidRPr="005B2556">
        <w:rPr>
          <w:rFonts w:ascii="Arial" w:eastAsia="Times New Roman" w:hAnsi="Arial" w:cs="Arial"/>
          <w:i/>
          <w:iCs/>
          <w:color w:val="000000"/>
          <w:sz w:val="30"/>
          <w:szCs w:val="30"/>
        </w:rPr>
        <w:t>The Epic of Gilgamesh</w:t>
      </w:r>
      <w:r w:rsidRPr="005B2556">
        <w:rPr>
          <w:rFonts w:ascii="Arial" w:eastAsia="Times New Roman" w:hAnsi="Arial" w:cs="Arial"/>
          <w:color w:val="000000"/>
          <w:sz w:val="30"/>
          <w:szCs w:val="30"/>
        </w:rPr>
        <w:t> in Mesopotamia and moving through time and space to the modern age. We will focus how literature is constructed, how it describes the human experience, and how we can talk about its interrelationships with time, place, culture, and other contexts. Texts: </w:t>
      </w:r>
      <w:r w:rsidRPr="005B2556">
        <w:rPr>
          <w:rFonts w:ascii="Arial" w:eastAsia="Times New Roman" w:hAnsi="Arial" w:cs="Arial"/>
          <w:i/>
          <w:iCs/>
          <w:color w:val="000000"/>
          <w:sz w:val="30"/>
          <w:szCs w:val="30"/>
        </w:rPr>
        <w:t>The Norton Anthology of World Literature, Shorter Fourth Edition</w:t>
      </w:r>
      <w:r w:rsidRPr="005B2556">
        <w:rPr>
          <w:rFonts w:ascii="Arial" w:eastAsia="Times New Roman" w:hAnsi="Arial" w:cs="Arial"/>
          <w:color w:val="000000"/>
          <w:sz w:val="30"/>
          <w:szCs w:val="30"/>
        </w:rPr>
        <w:t>, 2 vols., and the handy </w:t>
      </w:r>
      <w:r w:rsidRPr="005B2556">
        <w:rPr>
          <w:rFonts w:ascii="Arial" w:eastAsia="Times New Roman" w:hAnsi="Arial" w:cs="Arial"/>
          <w:i/>
          <w:iCs/>
          <w:color w:val="000000"/>
          <w:sz w:val="30"/>
          <w:szCs w:val="30"/>
        </w:rPr>
        <w:t>Oxford Dictionary of Literary Terms</w:t>
      </w:r>
      <w:r w:rsidRPr="005B2556">
        <w:rPr>
          <w:rFonts w:ascii="Arial" w:eastAsia="Times New Roman" w:hAnsi="Arial" w:cs="Arial"/>
          <w:color w:val="000000"/>
          <w:sz w:val="30"/>
          <w:szCs w:val="30"/>
        </w:rPr>
        <w:t xml:space="preserve">, 4th edition, ed. Chris </w:t>
      </w:r>
      <w:proofErr w:type="spellStart"/>
      <w:r w:rsidRPr="005B2556">
        <w:rPr>
          <w:rFonts w:ascii="Arial" w:eastAsia="Times New Roman" w:hAnsi="Arial" w:cs="Arial"/>
          <w:color w:val="000000"/>
          <w:sz w:val="30"/>
          <w:szCs w:val="30"/>
        </w:rPr>
        <w:t>Baldick</w:t>
      </w:r>
      <w:proofErr w:type="spellEnd"/>
      <w:r w:rsidRPr="005B2556">
        <w:rPr>
          <w:rFonts w:ascii="Arial" w:eastAsia="Times New Roman" w:hAnsi="Arial" w:cs="Arial"/>
          <w:color w:val="000000"/>
          <w:sz w:val="30"/>
          <w:szCs w:val="30"/>
        </w:rPr>
        <w:t>.</w:t>
      </w:r>
    </w:p>
    <w:p w14:paraId="28860C6D"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39977509" w14:textId="77777777"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lastRenderedPageBreak/>
        <w:t>ENG 221</w:t>
      </w:r>
    </w:p>
    <w:p w14:paraId="0271A008"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Introduction to Fiction Writing</w:t>
      </w:r>
    </w:p>
    <w:p w14:paraId="5C150A80"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9:30-10:45</w:t>
      </w:r>
    </w:p>
    <w:p w14:paraId="2E40C82A"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In this class, you will write your own original fiction. Class sessions will be organized around craft topics, which will include assigned outside readings and writing exercises. You will also write one short story or novel chapter. Craft topics will </w:t>
      </w:r>
      <w:proofErr w:type="gramStart"/>
      <w:r w:rsidRPr="005B2556">
        <w:rPr>
          <w:rFonts w:ascii="Arial" w:eastAsia="Times New Roman" w:hAnsi="Arial" w:cs="Arial"/>
          <w:color w:val="000000"/>
          <w:sz w:val="30"/>
          <w:szCs w:val="30"/>
        </w:rPr>
        <w:t>include:</w:t>
      </w:r>
      <w:proofErr w:type="gramEnd"/>
      <w:r w:rsidRPr="005B2556">
        <w:rPr>
          <w:rFonts w:ascii="Arial" w:eastAsia="Times New Roman" w:hAnsi="Arial" w:cs="Arial"/>
          <w:color w:val="000000"/>
          <w:sz w:val="30"/>
          <w:szCs w:val="30"/>
        </w:rPr>
        <w:t xml:space="preserve"> character, dialogue, setting, structure, style, revision, and more. </w:t>
      </w:r>
    </w:p>
    <w:p w14:paraId="064BC0D0"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23309EF7" w14:textId="77777777"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ENG 223</w:t>
      </w:r>
    </w:p>
    <w:p w14:paraId="1B4F3470"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Creative Writing</w:t>
      </w:r>
    </w:p>
    <w:p w14:paraId="489B63D6"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11:00-12:15</w:t>
      </w:r>
    </w:p>
    <w:p w14:paraId="0C51D699"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ENG 223 is an introduction to multi-genre creative writing with an emphasis on fiction, poetry, and creative nonfiction. Students will study craft-based guides, read published works, and draft creative work in various genres. The class will place an emphasis on generative writing exercises modeled on published work; students will also take part in peer-review workshops to develop and revise their writing. The class will culminate in the submission of a final portfolio that includes revised creative work, along with a critical introduction reflecting on the writing process as it applies to fiction, poetry, and creative nonfiction. </w:t>
      </w:r>
    </w:p>
    <w:p w14:paraId="3AA2547E"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0090465C" w14:textId="77777777"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ENG 222/322/422</w:t>
      </w:r>
    </w:p>
    <w:p w14:paraId="39E7F012"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Poetry Writing</w:t>
      </w:r>
    </w:p>
    <w:p w14:paraId="11F1A24F"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MW 1:00-2:15</w:t>
      </w:r>
    </w:p>
    <w:p w14:paraId="7DEC5F60"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lastRenderedPageBreak/>
        <w:t>Dr. Angela Ball</w:t>
      </w:r>
    </w:p>
    <w:p w14:paraId="7013EC4B"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Fall 2021's English 222/322/422, Poetry Workshop I, II, and III, will be a class that welcomes poets of all levels of skill and experience, from "none" on up. We will advise each other on how poems might become even more interesting. With the help of our text, Gregory Orr's A PRIMER FOR POETS AND READERS OF POETRY, we will experiment with many forms and subjects. The class will celebrate poetry's possibilities: among them, its ability to translate personal chaos into art that helps us understand others and ourselves, demonstrating that individuals are all essential parts of a shared wholeness. There will be laughter.</w:t>
      </w:r>
    </w:p>
    <w:p w14:paraId="475CF45A"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54170B51" w14:textId="1E5B3F10"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ENG 301</w:t>
      </w:r>
      <w:r w:rsidRPr="005B2556">
        <w:rPr>
          <w:rFonts w:ascii="var(--serif)" w:eastAsia="Times New Roman" w:hAnsi="var(--serif)" w:cs="Times New Roman"/>
          <w:b/>
          <w:bCs/>
          <w:noProof/>
          <w:color w:val="000000"/>
          <w:sz w:val="36"/>
          <w:szCs w:val="36"/>
        </w:rPr>
        <w:drawing>
          <wp:inline distT="0" distB="0" distL="0" distR="0" wp14:anchorId="27076A57" wp14:editId="64E77408">
            <wp:extent cx="4762500" cy="2675890"/>
            <wp:effectExtent l="0" t="0" r="0" b="0"/>
            <wp:docPr id="16" name="Picture 16" descr="E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 3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131A0E7A"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Advanced Grammar</w:t>
      </w:r>
    </w:p>
    <w:p w14:paraId="69AA0EF2"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Ms. Amy Carey</w:t>
      </w:r>
    </w:p>
    <w:p w14:paraId="3C0C55B2"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MW 9:30-10:45</w:t>
      </w:r>
    </w:p>
    <w:p w14:paraId="40406A33"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A study of the structures, origins, power, and rhetorical nature of language and the effects of different approaches to grammar. This course is designed for both English and English Licensure students and will fulfill the language elective requirement for licensure students. </w:t>
      </w:r>
      <w:r w:rsidRPr="005B2556">
        <w:rPr>
          <w:rFonts w:ascii="Arial" w:eastAsia="Times New Roman" w:hAnsi="Arial" w:cs="Arial"/>
          <w:color w:val="000000"/>
          <w:sz w:val="30"/>
          <w:szCs w:val="30"/>
        </w:rPr>
        <w:lastRenderedPageBreak/>
        <w:t>Students will analyze standard and rhetorical features of English language and grammar, also considering how history, culture, and systems of power have traditionally defined grammatical standards and how those standards are continually changing and adapting. Participants will gain confidence in their own mastery of advanced English grammar; they will also deepen their ability to analyze its rhetorical effects and communicate that analysis to others through Field Notes assignments and a final research project. This course will use a rhetorical framework for studying both prescriptive and descriptive grammar structures and apply that framework to students’ own writing.</w:t>
      </w:r>
    </w:p>
    <w:p w14:paraId="02370CE2"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14F5F23A" w14:textId="77777777"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ENG 311</w:t>
      </w:r>
    </w:p>
    <w:p w14:paraId="3A5A506C"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Survey of Contemporary Literature</w:t>
      </w:r>
    </w:p>
    <w:p w14:paraId="35CC164D"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Illness and Disability Memoirs</w:t>
      </w:r>
    </w:p>
    <w:p w14:paraId="7180645B"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Emily Stanback</w:t>
      </w:r>
    </w:p>
    <w:p w14:paraId="6596F5D6"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1:00-2:15</w:t>
      </w:r>
    </w:p>
    <w:p w14:paraId="6B61F977"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Illness and disability memoirs have become incredibly popular in recent decades, detailing from a </w:t>
      </w:r>
      <w:proofErr w:type="gramStart"/>
      <w:r w:rsidRPr="005B2556">
        <w:rPr>
          <w:rFonts w:ascii="Arial" w:eastAsia="Times New Roman" w:hAnsi="Arial" w:cs="Arial"/>
          <w:color w:val="000000"/>
          <w:sz w:val="30"/>
          <w:szCs w:val="30"/>
        </w:rPr>
        <w:t>first-hand perspective experiences</w:t>
      </w:r>
      <w:proofErr w:type="gramEnd"/>
      <w:r w:rsidRPr="005B2556">
        <w:rPr>
          <w:rFonts w:ascii="Arial" w:eastAsia="Times New Roman" w:hAnsi="Arial" w:cs="Arial"/>
          <w:color w:val="000000"/>
          <w:sz w:val="30"/>
          <w:szCs w:val="30"/>
        </w:rPr>
        <w:t xml:space="preserve"> of everything from depression to autism to cancer to paralysis. In </w:t>
      </w:r>
      <w:r w:rsidRPr="005B2556">
        <w:rPr>
          <w:rFonts w:ascii="Arial" w:eastAsia="Times New Roman" w:hAnsi="Arial" w:cs="Arial"/>
          <w:i/>
          <w:iCs/>
          <w:color w:val="000000"/>
          <w:sz w:val="30"/>
          <w:szCs w:val="30"/>
        </w:rPr>
        <w:t>When Breath Becomes Air</w:t>
      </w:r>
      <w:r w:rsidRPr="005B2556">
        <w:rPr>
          <w:rFonts w:ascii="Arial" w:eastAsia="Times New Roman" w:hAnsi="Arial" w:cs="Arial"/>
          <w:color w:val="000000"/>
          <w:sz w:val="30"/>
          <w:szCs w:val="30"/>
        </w:rPr>
        <w:t>, for example, neurosurgeon Paul Kalanithi describes the shift from doctor to patient after his diagnosis with stage IV cancer in his late 30s. In </w:t>
      </w:r>
      <w:r w:rsidRPr="005B2556">
        <w:rPr>
          <w:rFonts w:ascii="Arial" w:eastAsia="Times New Roman" w:hAnsi="Arial" w:cs="Arial"/>
          <w:i/>
          <w:iCs/>
          <w:color w:val="000000"/>
          <w:sz w:val="30"/>
          <w:szCs w:val="30"/>
        </w:rPr>
        <w:t>Girl, Interrupted</w:t>
      </w:r>
      <w:r w:rsidRPr="005B2556">
        <w:rPr>
          <w:rFonts w:ascii="Arial" w:eastAsia="Times New Roman" w:hAnsi="Arial" w:cs="Arial"/>
          <w:color w:val="000000"/>
          <w:sz w:val="30"/>
          <w:szCs w:val="30"/>
        </w:rPr>
        <w:t xml:space="preserve">, Susannah </w:t>
      </w:r>
      <w:proofErr w:type="spellStart"/>
      <w:r w:rsidRPr="005B2556">
        <w:rPr>
          <w:rFonts w:ascii="Arial" w:eastAsia="Times New Roman" w:hAnsi="Arial" w:cs="Arial"/>
          <w:color w:val="000000"/>
          <w:sz w:val="30"/>
          <w:szCs w:val="30"/>
        </w:rPr>
        <w:t>Kaysen</w:t>
      </w:r>
      <w:proofErr w:type="spellEnd"/>
      <w:r w:rsidRPr="005B2556">
        <w:rPr>
          <w:rFonts w:ascii="Arial" w:eastAsia="Times New Roman" w:hAnsi="Arial" w:cs="Arial"/>
          <w:color w:val="000000"/>
          <w:sz w:val="30"/>
          <w:szCs w:val="30"/>
        </w:rPr>
        <w:t xml:space="preserve"> uses medical documents and reconstructed memory to scrutinize her time in McLean Institution and her diagnosis, at 18 years of age, of borderline personality disorder. The first-person narratives in Alice Wong’s </w:t>
      </w:r>
      <w:r w:rsidRPr="005B2556">
        <w:rPr>
          <w:rFonts w:ascii="Arial" w:eastAsia="Times New Roman" w:hAnsi="Arial" w:cs="Arial"/>
          <w:i/>
          <w:iCs/>
          <w:color w:val="000000"/>
          <w:sz w:val="30"/>
          <w:szCs w:val="30"/>
        </w:rPr>
        <w:t>Disability Visibility</w:t>
      </w:r>
      <w:r w:rsidRPr="005B2556">
        <w:rPr>
          <w:rFonts w:ascii="Arial" w:eastAsia="Times New Roman" w:hAnsi="Arial" w:cs="Arial"/>
          <w:color w:val="000000"/>
          <w:sz w:val="30"/>
          <w:szCs w:val="30"/>
        </w:rPr>
        <w:t> depict several dimensions of what it means to be disabled in the 21st century—what it means to be Black and disabled, what it means to be a disabled parent, what it means to be a disability activist.</w:t>
      </w:r>
    </w:p>
    <w:p w14:paraId="28AC4B8F"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lastRenderedPageBreak/>
        <w:t xml:space="preserve">Why have these authors—and countless others—turned to the written word to articulate their embodied experiences? Why have countless readers returned again and again to memoirs such as these? Why has this genre become so popular at this </w:t>
      </w:r>
      <w:proofErr w:type="gramStart"/>
      <w:r w:rsidRPr="005B2556">
        <w:rPr>
          <w:rFonts w:ascii="Arial" w:eastAsia="Times New Roman" w:hAnsi="Arial" w:cs="Arial"/>
          <w:color w:val="000000"/>
          <w:sz w:val="30"/>
          <w:szCs w:val="30"/>
        </w:rPr>
        <w:t>particular moment</w:t>
      </w:r>
      <w:proofErr w:type="gramEnd"/>
      <w:r w:rsidRPr="005B2556">
        <w:rPr>
          <w:rFonts w:ascii="Arial" w:eastAsia="Times New Roman" w:hAnsi="Arial" w:cs="Arial"/>
          <w:color w:val="000000"/>
          <w:sz w:val="30"/>
          <w:szCs w:val="30"/>
        </w:rPr>
        <w:t xml:space="preserve"> in literary history?</w:t>
      </w:r>
    </w:p>
    <w:p w14:paraId="74DB7434"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In this course we will consider what it means to write the ill or disabled </w:t>
      </w:r>
      <w:proofErr w:type="spellStart"/>
      <w:r w:rsidRPr="005B2556">
        <w:rPr>
          <w:rFonts w:ascii="Arial" w:eastAsia="Times New Roman" w:hAnsi="Arial" w:cs="Arial"/>
          <w:color w:val="000000"/>
          <w:sz w:val="30"/>
          <w:szCs w:val="30"/>
        </w:rPr>
        <w:t>bodymind</w:t>
      </w:r>
      <w:proofErr w:type="spellEnd"/>
      <w:r w:rsidRPr="005B2556">
        <w:rPr>
          <w:rFonts w:ascii="Arial" w:eastAsia="Times New Roman" w:hAnsi="Arial" w:cs="Arial"/>
          <w:color w:val="000000"/>
          <w:sz w:val="30"/>
          <w:szCs w:val="30"/>
        </w:rPr>
        <w:t xml:space="preserve">, and what it means to read the ill or disabled </w:t>
      </w:r>
      <w:proofErr w:type="spellStart"/>
      <w:r w:rsidRPr="005B2556">
        <w:rPr>
          <w:rFonts w:ascii="Arial" w:eastAsia="Times New Roman" w:hAnsi="Arial" w:cs="Arial"/>
          <w:color w:val="000000"/>
          <w:sz w:val="30"/>
          <w:szCs w:val="30"/>
        </w:rPr>
        <w:t>bodymind</w:t>
      </w:r>
      <w:proofErr w:type="spellEnd"/>
      <w:r w:rsidRPr="005B2556">
        <w:rPr>
          <w:rFonts w:ascii="Arial" w:eastAsia="Times New Roman" w:hAnsi="Arial" w:cs="Arial"/>
          <w:color w:val="000000"/>
          <w:sz w:val="30"/>
          <w:szCs w:val="30"/>
        </w:rPr>
        <w:t xml:space="preserve">. We will discuss how illness and disability memoirs can allow individuals to give voice to how their evolving </w:t>
      </w:r>
      <w:proofErr w:type="spellStart"/>
      <w:r w:rsidRPr="005B2556">
        <w:rPr>
          <w:rFonts w:ascii="Arial" w:eastAsia="Times New Roman" w:hAnsi="Arial" w:cs="Arial"/>
          <w:color w:val="000000"/>
          <w:sz w:val="30"/>
          <w:szCs w:val="30"/>
        </w:rPr>
        <w:t>bodymind</w:t>
      </w:r>
      <w:proofErr w:type="spellEnd"/>
      <w:r w:rsidRPr="005B2556">
        <w:rPr>
          <w:rFonts w:ascii="Arial" w:eastAsia="Times New Roman" w:hAnsi="Arial" w:cs="Arial"/>
          <w:color w:val="000000"/>
          <w:sz w:val="30"/>
          <w:szCs w:val="30"/>
        </w:rPr>
        <w:t xml:space="preserve"> moves through time and space, to articulate their experience as a patient under medical treatment, and to explore how their relationships and sense of self have been shaped by experiences of illness and disability. Importantly, we will also discuss how memoirs can also allow individuals to resist the narratives constructed about illness and disability by medical professionals and by society at large.</w:t>
      </w:r>
    </w:p>
    <w:p w14:paraId="2205E521" w14:textId="77777777"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ENG 321/421 </w:t>
      </w:r>
    </w:p>
    <w:p w14:paraId="5733EEBD"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Fiction Writing II and III  </w:t>
      </w:r>
    </w:p>
    <w:p w14:paraId="7E5ABAFF"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Olivia Clare  </w:t>
      </w:r>
    </w:p>
    <w:p w14:paraId="79C4CFE1"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9:30-10:45</w:t>
      </w:r>
    </w:p>
    <w:p w14:paraId="0E67E5B3"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In this class, you will write your own original fiction and workshop one another’s fiction. In addition to honing your craft, you will be working on your workshop skills. Craft topics will </w:t>
      </w:r>
      <w:proofErr w:type="gramStart"/>
      <w:r w:rsidRPr="005B2556">
        <w:rPr>
          <w:rFonts w:ascii="Arial" w:eastAsia="Times New Roman" w:hAnsi="Arial" w:cs="Arial"/>
          <w:color w:val="000000"/>
          <w:sz w:val="30"/>
          <w:szCs w:val="30"/>
        </w:rPr>
        <w:t>include:</w:t>
      </w:r>
      <w:proofErr w:type="gramEnd"/>
      <w:r w:rsidRPr="005B2556">
        <w:rPr>
          <w:rFonts w:ascii="Arial" w:eastAsia="Times New Roman" w:hAnsi="Arial" w:cs="Arial"/>
          <w:color w:val="000000"/>
          <w:sz w:val="30"/>
          <w:szCs w:val="30"/>
        </w:rPr>
        <w:t xml:space="preserve"> character, dialogue, setting, structure, style, revision, and more. You may turn in either short stories or novel chapters.</w:t>
      </w:r>
    </w:p>
    <w:p w14:paraId="42E3BA5A"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Recommended Text: </w:t>
      </w:r>
    </w:p>
    <w:p w14:paraId="3570DC9F" w14:textId="77777777" w:rsidR="005B2556" w:rsidRPr="005B2556" w:rsidRDefault="005B2556" w:rsidP="005B2556">
      <w:pPr>
        <w:numPr>
          <w:ilvl w:val="0"/>
          <w:numId w:val="1"/>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Writing Fiction</w:t>
      </w:r>
      <w:r w:rsidRPr="005B2556">
        <w:rPr>
          <w:rFonts w:ascii="Arial" w:eastAsia="Times New Roman" w:hAnsi="Arial" w:cs="Arial"/>
          <w:color w:val="000000"/>
          <w:sz w:val="30"/>
          <w:szCs w:val="30"/>
        </w:rPr>
        <w:t>, 10th Edition, Janet Burroway, Elizabeth Stuckey-French, Ned Stuckey-French  </w:t>
      </w:r>
    </w:p>
    <w:p w14:paraId="45CC9601" w14:textId="77777777" w:rsidR="005B2556" w:rsidRPr="005B2556" w:rsidRDefault="005B2556" w:rsidP="005B2556">
      <w:pPr>
        <w:numPr>
          <w:ilvl w:val="0"/>
          <w:numId w:val="1"/>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Short stories and novel excerpts to be distributed in class </w:t>
      </w:r>
    </w:p>
    <w:p w14:paraId="54A380D3"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1F91FE0A" w14:textId="52C95902"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lastRenderedPageBreak/>
        <w:drawing>
          <wp:inline distT="0" distB="0" distL="0" distR="0" wp14:anchorId="62875FF9" wp14:editId="58F53A45">
            <wp:extent cx="4762500" cy="2675890"/>
            <wp:effectExtent l="0" t="0" r="0" b="0"/>
            <wp:docPr id="15" name="Picture 15" descr="E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 3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340</w:t>
      </w:r>
    </w:p>
    <w:p w14:paraId="3ECB81E0"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Analysis of Literature</w:t>
      </w:r>
    </w:p>
    <w:p w14:paraId="204249B7"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Monika Gehlawat</w:t>
      </w:r>
    </w:p>
    <w:p w14:paraId="2A12B511"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MW 2:30-3:45 (H001)</w:t>
      </w:r>
    </w:p>
    <w:p w14:paraId="2AB920DF"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This course serves as a gateway to the English major and introduces students to key concepts and methods for analyzing literature. We will begin by studying the basic principles of close reading through the study of the classic American novel </w:t>
      </w:r>
      <w:r w:rsidRPr="005B2556">
        <w:rPr>
          <w:rFonts w:ascii="Arial" w:eastAsia="Times New Roman" w:hAnsi="Arial" w:cs="Arial"/>
          <w:i/>
          <w:iCs/>
          <w:color w:val="000000"/>
          <w:sz w:val="30"/>
          <w:szCs w:val="30"/>
        </w:rPr>
        <w:t>The Great Gatsby</w:t>
      </w:r>
      <w:r w:rsidRPr="005B2556">
        <w:rPr>
          <w:rFonts w:ascii="Arial" w:eastAsia="Times New Roman" w:hAnsi="Arial" w:cs="Arial"/>
          <w:color w:val="000000"/>
          <w:sz w:val="30"/>
          <w:szCs w:val="30"/>
        </w:rPr>
        <w:t xml:space="preserve"> by F. Scott Fitzgerald. Then we will learn about various theoretical approaches to critique and interpret literature and culture more broadly. Theories of Psychoanalysis, Marxism, Feminism, and </w:t>
      </w:r>
      <w:proofErr w:type="spellStart"/>
      <w:r w:rsidRPr="005B2556">
        <w:rPr>
          <w:rFonts w:ascii="Arial" w:eastAsia="Times New Roman" w:hAnsi="Arial" w:cs="Arial"/>
          <w:color w:val="000000"/>
          <w:sz w:val="30"/>
          <w:szCs w:val="30"/>
        </w:rPr>
        <w:t>Ecocriticsm</w:t>
      </w:r>
      <w:proofErr w:type="spellEnd"/>
      <w:r w:rsidRPr="005B2556">
        <w:rPr>
          <w:rFonts w:ascii="Arial" w:eastAsia="Times New Roman" w:hAnsi="Arial" w:cs="Arial"/>
          <w:color w:val="000000"/>
          <w:sz w:val="30"/>
          <w:szCs w:val="30"/>
        </w:rPr>
        <w:t>, to name but a few, will be studied. Students will also learn how to construct sophisticated arguments and conduct independent research, and will submit two research papers, one that focuses specifically on </w:t>
      </w:r>
      <w:r w:rsidRPr="005B2556">
        <w:rPr>
          <w:rFonts w:ascii="Arial" w:eastAsia="Times New Roman" w:hAnsi="Arial" w:cs="Arial"/>
          <w:i/>
          <w:iCs/>
          <w:color w:val="000000"/>
          <w:sz w:val="30"/>
          <w:szCs w:val="30"/>
        </w:rPr>
        <w:t>The Great Gatsby</w:t>
      </w:r>
      <w:r w:rsidRPr="005B2556">
        <w:rPr>
          <w:rFonts w:ascii="Arial" w:eastAsia="Times New Roman" w:hAnsi="Arial" w:cs="Arial"/>
          <w:color w:val="000000"/>
          <w:sz w:val="30"/>
          <w:szCs w:val="30"/>
        </w:rPr>
        <w:t> and a final essay that applies a specific theoretical model to a primary text (literary or cultural) of the student’s choosing. This seminar is a robust, discussion-based opportunity to cultivate critical thinking skills that will be beneficial for literary study and cultural analysis.</w:t>
      </w:r>
    </w:p>
    <w:p w14:paraId="1B2EE0BB"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707037FA" w14:textId="06FF6511"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lastRenderedPageBreak/>
        <w:drawing>
          <wp:inline distT="0" distB="0" distL="0" distR="0" wp14:anchorId="7E79C186" wp14:editId="242A54AE">
            <wp:extent cx="4762500" cy="2675890"/>
            <wp:effectExtent l="0" t="0" r="0" b="0"/>
            <wp:docPr id="14" name="Picture 14" descr="E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 3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340</w:t>
      </w:r>
    </w:p>
    <w:p w14:paraId="1C206E0E"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Analysis of Literature</w:t>
      </w:r>
    </w:p>
    <w:p w14:paraId="232AC8DC"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Leah Parker</w:t>
      </w:r>
    </w:p>
    <w:p w14:paraId="3B68551F"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1:00-2:15</w:t>
      </w:r>
    </w:p>
    <w:p w14:paraId="2C965EC1"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In this section of ENG 340 Analysis of Literature, we will engage with that most infamous of Old English poems—</w:t>
      </w:r>
      <w:r w:rsidRPr="005B2556">
        <w:rPr>
          <w:rFonts w:ascii="Arial" w:eastAsia="Times New Roman" w:hAnsi="Arial" w:cs="Arial"/>
          <w:i/>
          <w:iCs/>
          <w:color w:val="000000"/>
          <w:sz w:val="30"/>
          <w:szCs w:val="30"/>
        </w:rPr>
        <w:t>Beowulf</w:t>
      </w:r>
      <w:r w:rsidRPr="005B2556">
        <w:rPr>
          <w:rFonts w:ascii="Arial" w:eastAsia="Times New Roman" w:hAnsi="Arial" w:cs="Arial"/>
          <w:color w:val="000000"/>
          <w:sz w:val="30"/>
          <w:szCs w:val="30"/>
        </w:rPr>
        <w:t>—as our constant companion through the historiography of English studies, movements in critical theory, and the core English-major skills of literary analysis. We will read multiple translations of </w:t>
      </w:r>
      <w:r w:rsidRPr="005B2556">
        <w:rPr>
          <w:rFonts w:ascii="Arial" w:eastAsia="Times New Roman" w:hAnsi="Arial" w:cs="Arial"/>
          <w:i/>
          <w:iCs/>
          <w:color w:val="000000"/>
          <w:sz w:val="30"/>
          <w:szCs w:val="30"/>
        </w:rPr>
        <w:t>Beowulf</w:t>
      </w:r>
      <w:r w:rsidRPr="005B2556">
        <w:rPr>
          <w:rFonts w:ascii="Arial" w:eastAsia="Times New Roman" w:hAnsi="Arial" w:cs="Arial"/>
          <w:color w:val="000000"/>
          <w:sz w:val="30"/>
          <w:szCs w:val="30"/>
        </w:rPr>
        <w:t xml:space="preserve">, from J. R. R. Tolkien to Maria </w:t>
      </w:r>
      <w:proofErr w:type="spellStart"/>
      <w:r w:rsidRPr="005B2556">
        <w:rPr>
          <w:rFonts w:ascii="Arial" w:eastAsia="Times New Roman" w:hAnsi="Arial" w:cs="Arial"/>
          <w:color w:val="000000"/>
          <w:sz w:val="30"/>
          <w:szCs w:val="30"/>
        </w:rPr>
        <w:t>Dahvana</w:t>
      </w:r>
      <w:proofErr w:type="spellEnd"/>
      <w:r w:rsidRPr="005B2556">
        <w:rPr>
          <w:rFonts w:ascii="Arial" w:eastAsia="Times New Roman" w:hAnsi="Arial" w:cs="Arial"/>
          <w:color w:val="000000"/>
          <w:sz w:val="30"/>
          <w:szCs w:val="30"/>
        </w:rPr>
        <w:t xml:space="preserve"> Headley, and trace evolving approaches to the poem from the traditional to the cutting-edge. Not only will successful students have an intimate familiarity with </w:t>
      </w:r>
      <w:r w:rsidRPr="005B2556">
        <w:rPr>
          <w:rFonts w:ascii="Arial" w:eastAsia="Times New Roman" w:hAnsi="Arial" w:cs="Arial"/>
          <w:i/>
          <w:iCs/>
          <w:color w:val="000000"/>
          <w:sz w:val="30"/>
          <w:szCs w:val="30"/>
        </w:rPr>
        <w:t>Beowulf </w:t>
      </w:r>
      <w:r w:rsidRPr="005B2556">
        <w:rPr>
          <w:rFonts w:ascii="Arial" w:eastAsia="Times New Roman" w:hAnsi="Arial" w:cs="Arial"/>
          <w:color w:val="000000"/>
          <w:sz w:val="30"/>
          <w:szCs w:val="30"/>
        </w:rPr>
        <w:t>by the end of this course—yes, even the ‘dull’ third quarter about feuds and grudges—they will also be prepared to apply their expertise in literary analysis and critical theory to remaining upper-level coursework in the English major.</w:t>
      </w:r>
    </w:p>
    <w:p w14:paraId="1FBDD973"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514BC141" w14:textId="19593982"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lastRenderedPageBreak/>
        <w:drawing>
          <wp:inline distT="0" distB="0" distL="0" distR="0" wp14:anchorId="20022B5E" wp14:editId="45F66A4F">
            <wp:extent cx="4762500" cy="2675890"/>
            <wp:effectExtent l="0" t="0" r="0" b="0"/>
            <wp:docPr id="13" name="Picture 13" descr="E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 3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350</w:t>
      </w:r>
    </w:p>
    <w:p w14:paraId="6241C875"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British Literature I</w:t>
      </w:r>
    </w:p>
    <w:p w14:paraId="10B41549"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 xml:space="preserve">Dr. Jameela </w:t>
      </w:r>
      <w:proofErr w:type="spellStart"/>
      <w:r w:rsidRPr="005B2556">
        <w:rPr>
          <w:rFonts w:ascii="var(--serif)" w:eastAsia="Times New Roman" w:hAnsi="var(--serif)" w:cs="Times New Roman"/>
          <w:b/>
          <w:bCs/>
          <w:color w:val="000000"/>
          <w:sz w:val="30"/>
          <w:szCs w:val="30"/>
        </w:rPr>
        <w:t>Lares</w:t>
      </w:r>
      <w:proofErr w:type="spellEnd"/>
    </w:p>
    <w:p w14:paraId="67A150C2"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MW 9:30-10:45 </w:t>
      </w:r>
    </w:p>
    <w:p w14:paraId="32A40801"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A survey of major works of British literature from the beginnings in Old English poetry and prose through the Anglo-Norman, Middle English, and Renaissance periods and into the middle of the eighteenth century. We will focus not only on significant authors, texts, and genres but also on helpful strategies for reading and discussing them.</w:t>
      </w:r>
    </w:p>
    <w:p w14:paraId="59D3ECEC"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Texts:</w:t>
      </w:r>
    </w:p>
    <w:p w14:paraId="3234FC6B" w14:textId="77777777" w:rsidR="005B2556" w:rsidRPr="005B2556" w:rsidRDefault="005B2556" w:rsidP="005B2556">
      <w:pPr>
        <w:numPr>
          <w:ilvl w:val="0"/>
          <w:numId w:val="2"/>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Norton Anthology of English Literature</w:t>
      </w:r>
      <w:r w:rsidRPr="005B2556">
        <w:rPr>
          <w:rFonts w:ascii="Arial" w:eastAsia="Times New Roman" w:hAnsi="Arial" w:cs="Arial"/>
          <w:color w:val="000000"/>
          <w:sz w:val="30"/>
          <w:szCs w:val="30"/>
        </w:rPr>
        <w:t>, 10th edition, vol. 1</w:t>
      </w:r>
    </w:p>
    <w:p w14:paraId="35C450D1" w14:textId="77777777" w:rsidR="005B2556" w:rsidRPr="005B2556" w:rsidRDefault="005B2556" w:rsidP="005B2556">
      <w:pPr>
        <w:numPr>
          <w:ilvl w:val="0"/>
          <w:numId w:val="2"/>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Oxford Dictionary of Literary Terms</w:t>
      </w:r>
      <w:r w:rsidRPr="005B2556">
        <w:rPr>
          <w:rFonts w:ascii="Arial" w:eastAsia="Times New Roman" w:hAnsi="Arial" w:cs="Arial"/>
          <w:color w:val="000000"/>
          <w:sz w:val="30"/>
          <w:szCs w:val="30"/>
        </w:rPr>
        <w:t xml:space="preserve">, 4th edition, ed. Chris </w:t>
      </w:r>
      <w:proofErr w:type="spellStart"/>
      <w:r w:rsidRPr="005B2556">
        <w:rPr>
          <w:rFonts w:ascii="Arial" w:eastAsia="Times New Roman" w:hAnsi="Arial" w:cs="Arial"/>
          <w:color w:val="000000"/>
          <w:sz w:val="30"/>
          <w:szCs w:val="30"/>
        </w:rPr>
        <w:t>Baldick</w:t>
      </w:r>
      <w:proofErr w:type="spellEnd"/>
      <w:r w:rsidRPr="005B2556">
        <w:rPr>
          <w:rFonts w:ascii="Arial" w:eastAsia="Times New Roman" w:hAnsi="Arial" w:cs="Arial"/>
          <w:color w:val="000000"/>
          <w:sz w:val="30"/>
          <w:szCs w:val="30"/>
        </w:rPr>
        <w:t>.</w:t>
      </w:r>
    </w:p>
    <w:p w14:paraId="475D2164"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5AD6CD65" w14:textId="4336510F"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lastRenderedPageBreak/>
        <w:t>ENG 371</w:t>
      </w:r>
      <w:r w:rsidRPr="005B2556">
        <w:rPr>
          <w:rFonts w:ascii="var(--serif)" w:eastAsia="Times New Roman" w:hAnsi="var(--serif)" w:cs="Times New Roman"/>
          <w:b/>
          <w:bCs/>
          <w:noProof/>
          <w:color w:val="000000"/>
          <w:sz w:val="36"/>
          <w:szCs w:val="36"/>
        </w:rPr>
        <w:drawing>
          <wp:inline distT="0" distB="0" distL="0" distR="0" wp14:anchorId="0E466807" wp14:editId="1806429D">
            <wp:extent cx="4762500" cy="2675890"/>
            <wp:effectExtent l="0" t="0" r="0" b="0"/>
            <wp:docPr id="12" name="Picture 12" descr="E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 3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7D92943F"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Survey of American Literature II</w:t>
      </w:r>
    </w:p>
    <w:p w14:paraId="7B4E3F0D"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Kate Cochran</w:t>
      </w:r>
    </w:p>
    <w:p w14:paraId="03D5D3D5"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11-12:15</w:t>
      </w:r>
    </w:p>
    <w:p w14:paraId="3D2C3A77"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The 300-level ENG survey courses offer students an understanding of literary works in their historical and cultural contexts. As such, each course introduces students to a broad spectrum of literature: students will read a diversity of genres, forms, and writers—both canonical and nontraditional—and they will be introduced to the key figures, concepts, and movements that define literary periods. In this course, we’ll be examining some major figures and texts of American literature since 1865. We begin with one of the most iconic American novels, Mark Twain’s </w:t>
      </w:r>
      <w:r w:rsidRPr="005B2556">
        <w:rPr>
          <w:rFonts w:ascii="Arial" w:eastAsia="Times New Roman" w:hAnsi="Arial" w:cs="Arial"/>
          <w:i/>
          <w:iCs/>
          <w:color w:val="000000"/>
          <w:sz w:val="30"/>
          <w:szCs w:val="30"/>
        </w:rPr>
        <w:t>Adventures of Huckleberry Finn </w:t>
      </w:r>
      <w:r w:rsidRPr="005B2556">
        <w:rPr>
          <w:rFonts w:ascii="Arial" w:eastAsia="Times New Roman" w:hAnsi="Arial" w:cs="Arial"/>
          <w:color w:val="000000"/>
          <w:sz w:val="30"/>
          <w:szCs w:val="30"/>
        </w:rPr>
        <w:t xml:space="preserve">(1884), and conclude with a newer novel by a celebrated contemporary writer, </w:t>
      </w:r>
      <w:proofErr w:type="spellStart"/>
      <w:r w:rsidRPr="005B2556">
        <w:rPr>
          <w:rFonts w:ascii="Arial" w:eastAsia="Times New Roman" w:hAnsi="Arial" w:cs="Arial"/>
          <w:color w:val="000000"/>
          <w:sz w:val="30"/>
          <w:szCs w:val="30"/>
        </w:rPr>
        <w:t>Jesmyn</w:t>
      </w:r>
      <w:proofErr w:type="spellEnd"/>
      <w:r w:rsidRPr="005B2556">
        <w:rPr>
          <w:rFonts w:ascii="Arial" w:eastAsia="Times New Roman" w:hAnsi="Arial" w:cs="Arial"/>
          <w:color w:val="000000"/>
          <w:sz w:val="30"/>
          <w:szCs w:val="30"/>
        </w:rPr>
        <w:t xml:space="preserve"> Ward’s </w:t>
      </w:r>
      <w:r w:rsidRPr="005B2556">
        <w:rPr>
          <w:rFonts w:ascii="Arial" w:eastAsia="Times New Roman" w:hAnsi="Arial" w:cs="Arial"/>
          <w:i/>
          <w:iCs/>
          <w:color w:val="000000"/>
          <w:sz w:val="30"/>
          <w:szCs w:val="30"/>
        </w:rPr>
        <w:t>Salvage the Bones</w:t>
      </w:r>
      <w:r w:rsidRPr="005B2556">
        <w:rPr>
          <w:rFonts w:ascii="Arial" w:eastAsia="Times New Roman" w:hAnsi="Arial" w:cs="Arial"/>
          <w:color w:val="000000"/>
          <w:sz w:val="30"/>
          <w:szCs w:val="30"/>
        </w:rPr>
        <w:t> (2007). In between, we’ll be looking at poetry, stories, and plays from some significant American authors representing a variety of experiences and viewpoints, including Walt Whitman, Charlotte Perkins Gilman, Eugene O’Neill, Zora Neale Hurston, William Faulkner, Maxine Hong Kingston, Junot Diaz, Yusef Komunyakaa, and Natasha Trethewey. Students will complete daily work, three tests spaced throughout the semester, and two writing assignments.</w:t>
      </w:r>
    </w:p>
    <w:p w14:paraId="64CBC7E3"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lastRenderedPageBreak/>
        <w:t>Required texts:</w:t>
      </w:r>
    </w:p>
    <w:p w14:paraId="78C03570" w14:textId="77777777" w:rsidR="005B2556" w:rsidRPr="005B2556" w:rsidRDefault="005B2556" w:rsidP="005B2556">
      <w:pPr>
        <w:numPr>
          <w:ilvl w:val="0"/>
          <w:numId w:val="3"/>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Robert Levine, ed, </w:t>
      </w:r>
      <w:r w:rsidRPr="005B2556">
        <w:rPr>
          <w:rFonts w:ascii="Arial" w:eastAsia="Times New Roman" w:hAnsi="Arial" w:cs="Arial"/>
          <w:i/>
          <w:iCs/>
          <w:color w:val="000000"/>
          <w:sz w:val="30"/>
          <w:szCs w:val="30"/>
        </w:rPr>
        <w:t>Norton Anthology of American Lit, Shorter 9th ed, Volume II: 1865-Present</w:t>
      </w:r>
    </w:p>
    <w:p w14:paraId="00CF1210" w14:textId="77777777" w:rsidR="005B2556" w:rsidRPr="005B2556" w:rsidRDefault="005B2556" w:rsidP="005B2556">
      <w:pPr>
        <w:numPr>
          <w:ilvl w:val="0"/>
          <w:numId w:val="3"/>
        </w:numPr>
        <w:spacing w:before="100" w:beforeAutospacing="1" w:after="100" w:afterAutospacing="1" w:line="240" w:lineRule="auto"/>
        <w:rPr>
          <w:rFonts w:ascii="Arial" w:eastAsia="Times New Roman" w:hAnsi="Arial" w:cs="Arial"/>
          <w:color w:val="000000"/>
          <w:sz w:val="30"/>
          <w:szCs w:val="30"/>
        </w:rPr>
      </w:pPr>
      <w:proofErr w:type="spellStart"/>
      <w:r w:rsidRPr="005B2556">
        <w:rPr>
          <w:rFonts w:ascii="Arial" w:eastAsia="Times New Roman" w:hAnsi="Arial" w:cs="Arial"/>
          <w:color w:val="000000"/>
          <w:sz w:val="30"/>
          <w:szCs w:val="30"/>
        </w:rPr>
        <w:t>Jesmyn</w:t>
      </w:r>
      <w:proofErr w:type="spellEnd"/>
      <w:r w:rsidRPr="005B2556">
        <w:rPr>
          <w:rFonts w:ascii="Arial" w:eastAsia="Times New Roman" w:hAnsi="Arial" w:cs="Arial"/>
          <w:color w:val="000000"/>
          <w:sz w:val="30"/>
          <w:szCs w:val="30"/>
        </w:rPr>
        <w:t xml:space="preserve"> Ward, </w:t>
      </w:r>
      <w:r w:rsidRPr="005B2556">
        <w:rPr>
          <w:rFonts w:ascii="Arial" w:eastAsia="Times New Roman" w:hAnsi="Arial" w:cs="Arial"/>
          <w:i/>
          <w:iCs/>
          <w:color w:val="000000"/>
          <w:sz w:val="30"/>
          <w:szCs w:val="30"/>
        </w:rPr>
        <w:t>Salvage the Bones</w:t>
      </w:r>
    </w:p>
    <w:p w14:paraId="22F49368"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1BC7BAFA" w14:textId="6016135A"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ENG 372</w:t>
      </w:r>
      <w:r w:rsidRPr="005B2556">
        <w:rPr>
          <w:rFonts w:ascii="var(--serif)" w:eastAsia="Times New Roman" w:hAnsi="var(--serif)" w:cs="Times New Roman"/>
          <w:b/>
          <w:bCs/>
          <w:noProof/>
          <w:color w:val="000000"/>
          <w:sz w:val="36"/>
          <w:szCs w:val="36"/>
        </w:rPr>
        <w:drawing>
          <wp:inline distT="0" distB="0" distL="0" distR="0" wp14:anchorId="3E1194D5" wp14:editId="5DB411A7">
            <wp:extent cx="4762500" cy="2675890"/>
            <wp:effectExtent l="0" t="0" r="0" b="0"/>
            <wp:docPr id="11" name="Picture 11" descr="E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 3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585CBEA8"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African American Literature</w:t>
      </w:r>
    </w:p>
    <w:p w14:paraId="790B0D34"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MW 11:00-12:15</w:t>
      </w:r>
    </w:p>
    <w:p w14:paraId="38068811"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Sherita Johnson</w:t>
      </w:r>
    </w:p>
    <w:p w14:paraId="6D9EB789"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ENG 372 concentrates on the experiences of African Americans, those who were enslaved and/or struggled to be free, as expressed through their poetry, fiction, autobiography, essays, and orations as well as other vernacular forms (</w:t>
      </w:r>
      <w:proofErr w:type="gramStart"/>
      <w:r w:rsidRPr="005B2556">
        <w:rPr>
          <w:rFonts w:ascii="Arial" w:eastAsia="Times New Roman" w:hAnsi="Arial" w:cs="Arial"/>
          <w:color w:val="000000"/>
          <w:sz w:val="30"/>
          <w:szCs w:val="30"/>
        </w:rPr>
        <w:t>e.g.</w:t>
      </w:r>
      <w:proofErr w:type="gramEnd"/>
      <w:r w:rsidRPr="005B2556">
        <w:rPr>
          <w:rFonts w:ascii="Arial" w:eastAsia="Times New Roman" w:hAnsi="Arial" w:cs="Arial"/>
          <w:color w:val="000000"/>
          <w:sz w:val="30"/>
          <w:szCs w:val="30"/>
        </w:rPr>
        <w:t xml:space="preserve"> folk tales and music—religious, secular, and work songs). Starting from the colonial era progressing to the dawn of the 20th century, we will examine over 150 years of African American oral and written traditions.</w:t>
      </w:r>
    </w:p>
    <w:p w14:paraId="7CF3E7EB"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34152AF7" w14:textId="1598CA53"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lastRenderedPageBreak/>
        <w:drawing>
          <wp:inline distT="0" distB="0" distL="0" distR="0" wp14:anchorId="43878360" wp14:editId="01EA53AD">
            <wp:extent cx="4762500" cy="2675890"/>
            <wp:effectExtent l="0" t="0" r="0" b="0"/>
            <wp:docPr id="10" name="Picture 10" descr="E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G 4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400</w:t>
      </w:r>
    </w:p>
    <w:p w14:paraId="2B1E24AB"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Senior Capstone</w:t>
      </w:r>
    </w:p>
    <w:p w14:paraId="3E716CEB"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Building Stories: Mind, Memory, Media</w:t>
      </w:r>
    </w:p>
    <w:p w14:paraId="206C4113"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Craig Carey</w:t>
      </w:r>
    </w:p>
    <w:p w14:paraId="7409373D"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2:30-3:45</w:t>
      </w:r>
    </w:p>
    <w:p w14:paraId="209907FD"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Stories are the architecture of our lives. As Joan Didion once wrote, “We tell ourselves stories </w:t>
      </w:r>
      <w:proofErr w:type="gramStart"/>
      <w:r w:rsidRPr="005B2556">
        <w:rPr>
          <w:rFonts w:ascii="Arial" w:eastAsia="Times New Roman" w:hAnsi="Arial" w:cs="Arial"/>
          <w:color w:val="000000"/>
          <w:sz w:val="30"/>
          <w:szCs w:val="30"/>
        </w:rPr>
        <w:t>in order to</w:t>
      </w:r>
      <w:proofErr w:type="gramEnd"/>
      <w:r w:rsidRPr="005B2556">
        <w:rPr>
          <w:rFonts w:ascii="Arial" w:eastAsia="Times New Roman" w:hAnsi="Arial" w:cs="Arial"/>
          <w:color w:val="000000"/>
          <w:sz w:val="30"/>
          <w:szCs w:val="30"/>
        </w:rPr>
        <w:t xml:space="preserve"> live,” and it is through stories that we give shape to “the shifting phantasmagoria which is our actual experience.” In this seminar, we’ll explore and reverse-engineer stories by analyzing the narrative architecture of novels, films, short stories, graphic novels, experimental theater, interactive texts, and other media formats. Through medium-specific literary analysis, we’ll investigate how stories construct different models of the mind and memory, drawing on the affordances of different media to traverse the labyrinth of human experience from different perspectives. Subtopics of the course will include amnesia, forgetting, erasure, dreams, fantasy, trauma, performance, worldbuilding, puzzles, play, deception, and more. Course requirements will include participation, discussion posts, an oral presentation, building your own interactive story, and a seminar paper.</w:t>
      </w:r>
    </w:p>
    <w:p w14:paraId="29D42CE2"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Possible texts will include:</w:t>
      </w:r>
    </w:p>
    <w:p w14:paraId="4BCAA7E0" w14:textId="77777777" w:rsidR="005B2556" w:rsidRPr="005B2556" w:rsidRDefault="005B2556" w:rsidP="005B2556">
      <w:pPr>
        <w:numPr>
          <w:ilvl w:val="0"/>
          <w:numId w:val="4"/>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lastRenderedPageBreak/>
        <w:t xml:space="preserve">Short stories by Jorge Luis Borges, Julio </w:t>
      </w:r>
      <w:proofErr w:type="spellStart"/>
      <w:r w:rsidRPr="005B2556">
        <w:rPr>
          <w:rFonts w:ascii="Arial" w:eastAsia="Times New Roman" w:hAnsi="Arial" w:cs="Arial"/>
          <w:color w:val="000000"/>
          <w:sz w:val="30"/>
          <w:szCs w:val="30"/>
        </w:rPr>
        <w:t>Cortázar</w:t>
      </w:r>
      <w:proofErr w:type="spellEnd"/>
      <w:r w:rsidRPr="005B2556">
        <w:rPr>
          <w:rFonts w:ascii="Arial" w:eastAsia="Times New Roman" w:hAnsi="Arial" w:cs="Arial"/>
          <w:color w:val="000000"/>
          <w:sz w:val="30"/>
          <w:szCs w:val="30"/>
        </w:rPr>
        <w:t>, Kelly Link, and Ted Chiang</w:t>
      </w:r>
    </w:p>
    <w:p w14:paraId="38972B0B" w14:textId="77777777" w:rsidR="005B2556" w:rsidRPr="005B2556" w:rsidRDefault="005B2556" w:rsidP="005B2556">
      <w:pPr>
        <w:numPr>
          <w:ilvl w:val="0"/>
          <w:numId w:val="4"/>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Interactive texts such as </w:t>
      </w:r>
      <w:r w:rsidRPr="005B2556">
        <w:rPr>
          <w:rFonts w:ascii="Arial" w:eastAsia="Times New Roman" w:hAnsi="Arial" w:cs="Arial"/>
          <w:i/>
          <w:iCs/>
          <w:color w:val="000000"/>
          <w:sz w:val="30"/>
          <w:szCs w:val="30"/>
        </w:rPr>
        <w:t>Meanwhile</w:t>
      </w:r>
      <w:r w:rsidRPr="005B2556">
        <w:rPr>
          <w:rFonts w:ascii="Arial" w:eastAsia="Times New Roman" w:hAnsi="Arial" w:cs="Arial"/>
          <w:color w:val="000000"/>
          <w:sz w:val="30"/>
          <w:szCs w:val="30"/>
        </w:rPr>
        <w:t> (Jason Shiga), </w:t>
      </w:r>
      <w:r w:rsidRPr="005B2556">
        <w:rPr>
          <w:rFonts w:ascii="Arial" w:eastAsia="Times New Roman" w:hAnsi="Arial" w:cs="Arial"/>
          <w:i/>
          <w:iCs/>
          <w:color w:val="000000"/>
          <w:sz w:val="30"/>
          <w:szCs w:val="30"/>
        </w:rPr>
        <w:t>Her Story </w:t>
      </w:r>
      <w:r w:rsidRPr="005B2556">
        <w:rPr>
          <w:rFonts w:ascii="Arial" w:eastAsia="Times New Roman" w:hAnsi="Arial" w:cs="Arial"/>
          <w:color w:val="000000"/>
          <w:sz w:val="30"/>
          <w:szCs w:val="30"/>
        </w:rPr>
        <w:t>(Sam Barlow), and</w:t>
      </w:r>
      <w:r w:rsidRPr="005B2556">
        <w:rPr>
          <w:rFonts w:ascii="Arial" w:eastAsia="Times New Roman" w:hAnsi="Arial" w:cs="Arial"/>
          <w:i/>
          <w:iCs/>
          <w:color w:val="000000"/>
          <w:sz w:val="30"/>
          <w:szCs w:val="30"/>
        </w:rPr>
        <w:t> If Found</w:t>
      </w:r>
      <w:r w:rsidRPr="005B2556">
        <w:rPr>
          <w:rFonts w:ascii="Arial" w:eastAsia="Times New Roman" w:hAnsi="Arial" w:cs="Arial"/>
          <w:color w:val="000000"/>
          <w:sz w:val="30"/>
          <w:szCs w:val="30"/>
        </w:rPr>
        <w:t> (</w:t>
      </w:r>
      <w:proofErr w:type="spellStart"/>
      <w:r w:rsidRPr="005B2556">
        <w:rPr>
          <w:rFonts w:ascii="Arial" w:eastAsia="Times New Roman" w:hAnsi="Arial" w:cs="Arial"/>
          <w:color w:val="000000"/>
          <w:sz w:val="30"/>
          <w:szCs w:val="30"/>
        </w:rPr>
        <w:t>Dreamfeel</w:t>
      </w:r>
      <w:proofErr w:type="spellEnd"/>
      <w:r w:rsidRPr="005B2556">
        <w:rPr>
          <w:rFonts w:ascii="Arial" w:eastAsia="Times New Roman" w:hAnsi="Arial" w:cs="Arial"/>
          <w:color w:val="000000"/>
          <w:sz w:val="30"/>
          <w:szCs w:val="30"/>
        </w:rPr>
        <w:t>)</w:t>
      </w:r>
    </w:p>
    <w:p w14:paraId="1A5B29B4" w14:textId="77777777" w:rsidR="005B2556" w:rsidRPr="005B2556" w:rsidRDefault="005B2556" w:rsidP="005B2556">
      <w:pPr>
        <w:numPr>
          <w:ilvl w:val="0"/>
          <w:numId w:val="4"/>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Award-winning graphic novels like Alison Bechdel’s </w:t>
      </w:r>
      <w:r w:rsidRPr="005B2556">
        <w:rPr>
          <w:rFonts w:ascii="Arial" w:eastAsia="Times New Roman" w:hAnsi="Arial" w:cs="Arial"/>
          <w:i/>
          <w:iCs/>
          <w:color w:val="000000"/>
          <w:sz w:val="30"/>
          <w:szCs w:val="30"/>
        </w:rPr>
        <w:t>Fun Home: A Family Tragicomic</w:t>
      </w:r>
      <w:r w:rsidRPr="005B2556">
        <w:rPr>
          <w:rFonts w:ascii="Arial" w:eastAsia="Times New Roman" w:hAnsi="Arial" w:cs="Arial"/>
          <w:color w:val="000000"/>
          <w:sz w:val="30"/>
          <w:szCs w:val="30"/>
        </w:rPr>
        <w:t>, Gabriel Ba and Fabio Moon’s </w:t>
      </w:r>
      <w:r w:rsidRPr="005B2556">
        <w:rPr>
          <w:rFonts w:ascii="Arial" w:eastAsia="Times New Roman" w:hAnsi="Arial" w:cs="Arial"/>
          <w:i/>
          <w:iCs/>
          <w:color w:val="000000"/>
          <w:sz w:val="30"/>
          <w:szCs w:val="30"/>
        </w:rPr>
        <w:t>Daytripper</w:t>
      </w:r>
      <w:r w:rsidRPr="005B2556">
        <w:rPr>
          <w:rFonts w:ascii="Arial" w:eastAsia="Times New Roman" w:hAnsi="Arial" w:cs="Arial"/>
          <w:color w:val="000000"/>
          <w:sz w:val="30"/>
          <w:szCs w:val="30"/>
        </w:rPr>
        <w:t>, and Nick Sousanis’s </w:t>
      </w:r>
      <w:r w:rsidRPr="005B2556">
        <w:rPr>
          <w:rFonts w:ascii="Arial" w:eastAsia="Times New Roman" w:hAnsi="Arial" w:cs="Arial"/>
          <w:i/>
          <w:iCs/>
          <w:color w:val="000000"/>
          <w:sz w:val="30"/>
          <w:szCs w:val="30"/>
        </w:rPr>
        <w:t>Unflattening</w:t>
      </w:r>
    </w:p>
    <w:p w14:paraId="365B96AA" w14:textId="77777777" w:rsidR="005B2556" w:rsidRPr="005B2556" w:rsidRDefault="005B2556" w:rsidP="005B2556">
      <w:pPr>
        <w:numPr>
          <w:ilvl w:val="0"/>
          <w:numId w:val="4"/>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Genre-bending literary novels including Tom McCarthy’s </w:t>
      </w:r>
      <w:r w:rsidRPr="005B2556">
        <w:rPr>
          <w:rFonts w:ascii="Arial" w:eastAsia="Times New Roman" w:hAnsi="Arial" w:cs="Arial"/>
          <w:i/>
          <w:iCs/>
          <w:color w:val="000000"/>
          <w:sz w:val="30"/>
          <w:szCs w:val="30"/>
        </w:rPr>
        <w:t>Remainder,</w:t>
      </w:r>
      <w:r w:rsidRPr="005B2556">
        <w:rPr>
          <w:rFonts w:ascii="Arial" w:eastAsia="Times New Roman" w:hAnsi="Arial" w:cs="Arial"/>
          <w:color w:val="000000"/>
          <w:sz w:val="30"/>
          <w:szCs w:val="30"/>
        </w:rPr>
        <w:t> Emily St. John Mandel’s </w:t>
      </w:r>
      <w:r w:rsidRPr="005B2556">
        <w:rPr>
          <w:rFonts w:ascii="Arial" w:eastAsia="Times New Roman" w:hAnsi="Arial" w:cs="Arial"/>
          <w:i/>
          <w:iCs/>
          <w:color w:val="000000"/>
          <w:sz w:val="30"/>
          <w:szCs w:val="30"/>
        </w:rPr>
        <w:t>Station Eleven</w:t>
      </w:r>
      <w:r w:rsidRPr="005B2556">
        <w:rPr>
          <w:rFonts w:ascii="Arial" w:eastAsia="Times New Roman" w:hAnsi="Arial" w:cs="Arial"/>
          <w:color w:val="000000"/>
          <w:sz w:val="30"/>
          <w:szCs w:val="30"/>
        </w:rPr>
        <w:t>, and Susanna Clarke’s </w:t>
      </w:r>
      <w:r w:rsidRPr="005B2556">
        <w:rPr>
          <w:rFonts w:ascii="Arial" w:eastAsia="Times New Roman" w:hAnsi="Arial" w:cs="Arial"/>
          <w:i/>
          <w:iCs/>
          <w:color w:val="000000"/>
          <w:sz w:val="30"/>
          <w:szCs w:val="30"/>
        </w:rPr>
        <w:t>Piranesi</w:t>
      </w:r>
    </w:p>
    <w:p w14:paraId="72AFBB0A" w14:textId="77777777" w:rsidR="005B2556" w:rsidRPr="005B2556" w:rsidRDefault="005B2556" w:rsidP="005B2556">
      <w:pPr>
        <w:numPr>
          <w:ilvl w:val="0"/>
          <w:numId w:val="4"/>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Arthouse films such as </w:t>
      </w:r>
      <w:r w:rsidRPr="005B2556">
        <w:rPr>
          <w:rFonts w:ascii="Arial" w:eastAsia="Times New Roman" w:hAnsi="Arial" w:cs="Arial"/>
          <w:i/>
          <w:iCs/>
          <w:color w:val="000000"/>
          <w:sz w:val="30"/>
          <w:szCs w:val="30"/>
        </w:rPr>
        <w:t>Eternal Sunshine of the Spotless Mind</w:t>
      </w:r>
      <w:r w:rsidRPr="005B2556">
        <w:rPr>
          <w:rFonts w:ascii="Arial" w:eastAsia="Times New Roman" w:hAnsi="Arial" w:cs="Arial"/>
          <w:color w:val="000000"/>
          <w:sz w:val="30"/>
          <w:szCs w:val="30"/>
        </w:rPr>
        <w:t>, </w:t>
      </w:r>
      <w:r w:rsidRPr="005B2556">
        <w:rPr>
          <w:rFonts w:ascii="Arial" w:eastAsia="Times New Roman" w:hAnsi="Arial" w:cs="Arial"/>
          <w:i/>
          <w:iCs/>
          <w:color w:val="000000"/>
          <w:sz w:val="30"/>
          <w:szCs w:val="30"/>
        </w:rPr>
        <w:t>Mulholland Drive</w:t>
      </w:r>
      <w:r w:rsidRPr="005B2556">
        <w:rPr>
          <w:rFonts w:ascii="Arial" w:eastAsia="Times New Roman" w:hAnsi="Arial" w:cs="Arial"/>
          <w:color w:val="000000"/>
          <w:sz w:val="30"/>
          <w:szCs w:val="30"/>
        </w:rPr>
        <w:t>, and </w:t>
      </w:r>
      <w:r w:rsidRPr="005B2556">
        <w:rPr>
          <w:rFonts w:ascii="Arial" w:eastAsia="Times New Roman" w:hAnsi="Arial" w:cs="Arial"/>
          <w:i/>
          <w:iCs/>
          <w:color w:val="000000"/>
          <w:sz w:val="30"/>
          <w:szCs w:val="30"/>
        </w:rPr>
        <w:t>Synecdoche, New York</w:t>
      </w:r>
    </w:p>
    <w:p w14:paraId="5AA7732E"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64FA91FC" w14:textId="3125AE86"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drawing>
          <wp:inline distT="0" distB="0" distL="0" distR="0" wp14:anchorId="40C7C51A" wp14:editId="1FE862DE">
            <wp:extent cx="4762500" cy="2675890"/>
            <wp:effectExtent l="0" t="0" r="0" b="0"/>
            <wp:docPr id="9" name="Picture 9" descr="E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G 4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400</w:t>
      </w:r>
    </w:p>
    <w:p w14:paraId="7BBF6E6C"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Senior Seminar</w:t>
      </w:r>
    </w:p>
    <w:p w14:paraId="79FC2B6E"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“Civil Rights Literature”</w:t>
      </w:r>
    </w:p>
    <w:p w14:paraId="5A1B0116"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Sherita L. Johnson</w:t>
      </w:r>
    </w:p>
    <w:p w14:paraId="59059902"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MW 9:30-10:45 (Hoo2)</w:t>
      </w:r>
    </w:p>
    <w:p w14:paraId="46CBD0C5"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1414F6C0"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lastRenderedPageBreak/>
        <w:t>Reading Civil Rights literature requires an understanding of laws, racial politics, people, places, events, and texts that document a long history of inequality in the U.S. Though antagonistic race relations appear rooted in the South, the struggle for African Americans’ civil rights has always drawn a national audience and federal intervention. What we learn about these experiences will be useful to understand other groups’ struggles for justice and equality, and, hopefully, you will gain a greater appreciation for the rights we might take for granted as U.S. citizens today. Our study will begin in the late 19th century with the birth of Jim Crow as witnessed by writers of political fiction and extend the timeline to lyrical meditations on citizenship in the 21st century. Selections will reveal themes of agency and resistance, migration, integration, separatism, violence, suffrage, white privilege, coalition building, education, and religion. The fundamental objectives of this course are not only to identify the writers and analyze the narrative structures used to address civil rights, but, ultimately, we will examine the “culture of segregation” that serves as an impetus for the development of this body of literature until even now.</w:t>
      </w:r>
    </w:p>
    <w:p w14:paraId="034AEDC8"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Readings may include the following publications:</w:t>
      </w:r>
    </w:p>
    <w:p w14:paraId="6C90D6D0"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Julie Buckner Armstrong and Amy Schmidt, eds. </w:t>
      </w:r>
      <w:r w:rsidRPr="005B2556">
        <w:rPr>
          <w:rFonts w:ascii="Arial" w:eastAsia="Times New Roman" w:hAnsi="Arial" w:cs="Arial"/>
          <w:i/>
          <w:iCs/>
          <w:color w:val="000000"/>
          <w:sz w:val="30"/>
          <w:szCs w:val="30"/>
        </w:rPr>
        <w:t>The Civil Rights Reader: American Literature from Jim Crow to Reconciliation</w:t>
      </w:r>
      <w:r w:rsidRPr="005B2556">
        <w:rPr>
          <w:rFonts w:ascii="Arial" w:eastAsia="Times New Roman" w:hAnsi="Arial" w:cs="Arial"/>
          <w:color w:val="000000"/>
          <w:sz w:val="30"/>
          <w:szCs w:val="30"/>
        </w:rPr>
        <w:t> (2009)</w:t>
      </w:r>
    </w:p>
    <w:p w14:paraId="0B8DDC82"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 Albion W. </w:t>
      </w:r>
      <w:proofErr w:type="spellStart"/>
      <w:r w:rsidRPr="005B2556">
        <w:rPr>
          <w:rFonts w:ascii="Arial" w:eastAsia="Times New Roman" w:hAnsi="Arial" w:cs="Arial"/>
          <w:color w:val="000000"/>
          <w:sz w:val="30"/>
          <w:szCs w:val="30"/>
        </w:rPr>
        <w:t>Tourgée</w:t>
      </w:r>
      <w:proofErr w:type="spellEnd"/>
      <w:r w:rsidRPr="005B2556">
        <w:rPr>
          <w:rFonts w:ascii="Arial" w:eastAsia="Times New Roman" w:hAnsi="Arial" w:cs="Arial"/>
          <w:color w:val="000000"/>
          <w:sz w:val="30"/>
          <w:szCs w:val="30"/>
        </w:rPr>
        <w:t>, </w:t>
      </w:r>
      <w:r w:rsidRPr="005B2556">
        <w:rPr>
          <w:rFonts w:ascii="Arial" w:eastAsia="Times New Roman" w:hAnsi="Arial" w:cs="Arial"/>
          <w:i/>
          <w:iCs/>
          <w:color w:val="000000"/>
          <w:sz w:val="30"/>
          <w:szCs w:val="30"/>
        </w:rPr>
        <w:t>Bricks Without Straw</w:t>
      </w:r>
      <w:r w:rsidRPr="005B2556">
        <w:rPr>
          <w:rFonts w:ascii="Arial" w:eastAsia="Times New Roman" w:hAnsi="Arial" w:cs="Arial"/>
          <w:color w:val="000000"/>
          <w:sz w:val="30"/>
          <w:szCs w:val="30"/>
        </w:rPr>
        <w:t> (1880)</w:t>
      </w:r>
    </w:p>
    <w:p w14:paraId="5C5123D8"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Anne Moody, </w:t>
      </w:r>
      <w:r w:rsidRPr="005B2556">
        <w:rPr>
          <w:rFonts w:ascii="Arial" w:eastAsia="Times New Roman" w:hAnsi="Arial" w:cs="Arial"/>
          <w:i/>
          <w:iCs/>
          <w:color w:val="000000"/>
          <w:sz w:val="30"/>
          <w:szCs w:val="30"/>
        </w:rPr>
        <w:t>Coming of Age in Mississippi</w:t>
      </w:r>
      <w:r w:rsidRPr="005B2556">
        <w:rPr>
          <w:rFonts w:ascii="Arial" w:eastAsia="Times New Roman" w:hAnsi="Arial" w:cs="Arial"/>
          <w:color w:val="000000"/>
          <w:sz w:val="30"/>
          <w:szCs w:val="30"/>
        </w:rPr>
        <w:t> (1968)</w:t>
      </w:r>
    </w:p>
    <w:p w14:paraId="2FD8ED49"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James Baldwin, </w:t>
      </w:r>
      <w:r w:rsidRPr="005B2556">
        <w:rPr>
          <w:rFonts w:ascii="Arial" w:eastAsia="Times New Roman" w:hAnsi="Arial" w:cs="Arial"/>
          <w:i/>
          <w:iCs/>
          <w:color w:val="000000"/>
          <w:sz w:val="30"/>
          <w:szCs w:val="30"/>
        </w:rPr>
        <w:t>The Fire Next Time</w:t>
      </w:r>
      <w:r w:rsidRPr="005B2556">
        <w:rPr>
          <w:rFonts w:ascii="Arial" w:eastAsia="Times New Roman" w:hAnsi="Arial" w:cs="Arial"/>
          <w:color w:val="000000"/>
          <w:sz w:val="30"/>
          <w:szCs w:val="30"/>
        </w:rPr>
        <w:t> (1963)</w:t>
      </w:r>
    </w:p>
    <w:p w14:paraId="3013DEDD"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Claudia Rankine, </w:t>
      </w:r>
      <w:r w:rsidRPr="005B2556">
        <w:rPr>
          <w:rFonts w:ascii="Arial" w:eastAsia="Times New Roman" w:hAnsi="Arial" w:cs="Arial"/>
          <w:i/>
          <w:iCs/>
          <w:color w:val="000000"/>
          <w:sz w:val="30"/>
          <w:szCs w:val="30"/>
        </w:rPr>
        <w:t>Citizen: An American Lyric</w:t>
      </w:r>
      <w:r w:rsidRPr="005B2556">
        <w:rPr>
          <w:rFonts w:ascii="Arial" w:eastAsia="Times New Roman" w:hAnsi="Arial" w:cs="Arial"/>
          <w:color w:val="000000"/>
          <w:sz w:val="30"/>
          <w:szCs w:val="30"/>
        </w:rPr>
        <w:t> (2014)</w:t>
      </w:r>
    </w:p>
    <w:p w14:paraId="055999DB"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Ta-Nehisi Coates, </w:t>
      </w:r>
      <w:r w:rsidRPr="005B2556">
        <w:rPr>
          <w:rFonts w:ascii="Arial" w:eastAsia="Times New Roman" w:hAnsi="Arial" w:cs="Arial"/>
          <w:i/>
          <w:iCs/>
          <w:color w:val="000000"/>
          <w:sz w:val="30"/>
          <w:szCs w:val="30"/>
        </w:rPr>
        <w:t>Between the World and Me</w:t>
      </w:r>
      <w:r w:rsidRPr="005B2556">
        <w:rPr>
          <w:rFonts w:ascii="Arial" w:eastAsia="Times New Roman" w:hAnsi="Arial" w:cs="Arial"/>
          <w:color w:val="000000"/>
          <w:sz w:val="30"/>
          <w:szCs w:val="30"/>
        </w:rPr>
        <w:t> (2015)</w:t>
      </w:r>
    </w:p>
    <w:p w14:paraId="59702AAB"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3F21C03B" w14:textId="3966AC98"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lastRenderedPageBreak/>
        <w:t>ENG 401</w:t>
      </w:r>
      <w:r w:rsidRPr="005B2556">
        <w:rPr>
          <w:rFonts w:ascii="var(--serif)" w:eastAsia="Times New Roman" w:hAnsi="var(--serif)" w:cs="Times New Roman"/>
          <w:b/>
          <w:bCs/>
          <w:noProof/>
          <w:color w:val="000000"/>
          <w:sz w:val="36"/>
          <w:szCs w:val="36"/>
        </w:rPr>
        <w:drawing>
          <wp:inline distT="0" distB="0" distL="0" distR="0" wp14:anchorId="4AE15E5F" wp14:editId="16FB1523">
            <wp:extent cx="4762500" cy="2675890"/>
            <wp:effectExtent l="0" t="0" r="0" b="0"/>
            <wp:docPr id="8" name="Picture 8" descr="E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G 4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0CD876AC"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Composition Study for Teachers</w:t>
      </w:r>
    </w:p>
    <w:p w14:paraId="674D52CA"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Rebecca Powell</w:t>
      </w:r>
    </w:p>
    <w:p w14:paraId="1C6DF2F7"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11:00-12:15</w:t>
      </w:r>
    </w:p>
    <w:p w14:paraId="410EB091"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This course invites you to study and research how writing is at work in the world, how it moves through your life and communities, how people and institutions deploy writing to include and exclude, and finally, but perhaps most importantly, how to transform and utilize that knowledge in your teaching and professional endeavors. To do this, we’ll research the role of writing in our culture, education, and communities, examine our own writing processes, study the literature on the writing experiences and processes of adolescents, and design lesson plans, activities, and assessments that reflect the labors of our studies.</w:t>
      </w:r>
    </w:p>
    <w:p w14:paraId="6B988569"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In this course, we define writing broadly, drawing on composition and literacy studies to expand our definitions of composing beyond the page to the digital and visual. We’ll work together to see how this expansive definition of writing will inform our pedagogy and practices and how it does, or does not, show up in education discourses about writing, including the professional statements of the National Council of Teachers English and the Mississippi Career and College Ready </w:t>
      </w:r>
      <w:r w:rsidRPr="005B2556">
        <w:rPr>
          <w:rFonts w:ascii="Arial" w:eastAsia="Times New Roman" w:hAnsi="Arial" w:cs="Arial"/>
          <w:color w:val="000000"/>
          <w:sz w:val="30"/>
          <w:szCs w:val="30"/>
        </w:rPr>
        <w:lastRenderedPageBreak/>
        <w:t>Standards. This course is appropriate for elementary and secondary teacher candidates.</w:t>
      </w:r>
    </w:p>
    <w:p w14:paraId="55430C12"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0833035B" w14:textId="540B7F57"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drawing>
          <wp:inline distT="0" distB="0" distL="0" distR="0" wp14:anchorId="42EE39E1" wp14:editId="46876A72">
            <wp:extent cx="4762500" cy="2675890"/>
            <wp:effectExtent l="0" t="0" r="0" b="0"/>
            <wp:docPr id="7" name="Picture 7" descr="E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 4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402</w:t>
      </w:r>
    </w:p>
    <w:p w14:paraId="2814745B"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Literature Study for Teachers</w:t>
      </w:r>
    </w:p>
    <w:p w14:paraId="33C086AC"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Kate Cochran</w:t>
      </w:r>
    </w:p>
    <w:p w14:paraId="7BFB567D"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proofErr w:type="spellStart"/>
      <w:r w:rsidRPr="005B2556">
        <w:rPr>
          <w:rFonts w:ascii="var(--serif)" w:eastAsia="Times New Roman" w:hAnsi="var(--serif)" w:cs="Times New Roman"/>
          <w:b/>
          <w:bCs/>
          <w:color w:val="000000"/>
          <w:sz w:val="30"/>
          <w:szCs w:val="30"/>
        </w:rPr>
        <w:t>TTh</w:t>
      </w:r>
      <w:proofErr w:type="spellEnd"/>
      <w:r w:rsidRPr="005B2556">
        <w:rPr>
          <w:rFonts w:ascii="var(--serif)" w:eastAsia="Times New Roman" w:hAnsi="var(--serif)" w:cs="Times New Roman"/>
          <w:b/>
          <w:bCs/>
          <w:color w:val="000000"/>
          <w:sz w:val="30"/>
          <w:szCs w:val="30"/>
        </w:rPr>
        <w:t xml:space="preserve"> 2:30-3:45 (H001/G001)</w:t>
      </w:r>
    </w:p>
    <w:p w14:paraId="7431E9BA"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This course is designed to examine both theoretical and practical problems in the teaching of literature. Through reading poems, short stories, memoirs, and novels as our primary texts, we will become acquainted with textual and generic issues while our secondary text offers pedagogical and methodological guidance for instructors charged with teaching literature. Students will practice class activities, create a book talk, complete a </w:t>
      </w:r>
      <w:proofErr w:type="spellStart"/>
      <w:r w:rsidRPr="005B2556">
        <w:rPr>
          <w:rFonts w:ascii="Arial" w:eastAsia="Times New Roman" w:hAnsi="Arial" w:cs="Arial"/>
          <w:color w:val="000000"/>
          <w:sz w:val="30"/>
          <w:szCs w:val="30"/>
        </w:rPr>
        <w:t>multigenre</w:t>
      </w:r>
      <w:proofErr w:type="spellEnd"/>
      <w:r w:rsidRPr="005B2556">
        <w:rPr>
          <w:rFonts w:ascii="Arial" w:eastAsia="Times New Roman" w:hAnsi="Arial" w:cs="Arial"/>
          <w:color w:val="000000"/>
          <w:sz w:val="30"/>
          <w:szCs w:val="30"/>
        </w:rPr>
        <w:t xml:space="preserve"> research project, take a final comprehensive essay exam, and observe a class video, including writing a reflection on the observation. As a required course for English Licensure students and an elective course for Elementary Education students at the undergraduate level, this course seeks to help students understand the current theories and processes of teaching literature. Students will learn about themselves as readers </w:t>
      </w:r>
      <w:r w:rsidRPr="005B2556">
        <w:rPr>
          <w:rFonts w:ascii="Arial" w:eastAsia="Times New Roman" w:hAnsi="Arial" w:cs="Arial"/>
          <w:color w:val="000000"/>
          <w:sz w:val="30"/>
          <w:szCs w:val="30"/>
        </w:rPr>
        <w:lastRenderedPageBreak/>
        <w:t>and will work together to further deepen their understanding of how students learn.</w:t>
      </w:r>
    </w:p>
    <w:p w14:paraId="39E06933"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Required texts:</w:t>
      </w:r>
    </w:p>
    <w:p w14:paraId="7130A144" w14:textId="77777777" w:rsidR="005B2556" w:rsidRPr="005B2556" w:rsidRDefault="005B2556" w:rsidP="005B2556">
      <w:pPr>
        <w:numPr>
          <w:ilvl w:val="0"/>
          <w:numId w:val="5"/>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Richard Beach et al, </w:t>
      </w:r>
      <w:r w:rsidRPr="005B2556">
        <w:rPr>
          <w:rFonts w:ascii="Arial" w:eastAsia="Times New Roman" w:hAnsi="Arial" w:cs="Arial"/>
          <w:i/>
          <w:iCs/>
          <w:color w:val="000000"/>
          <w:sz w:val="30"/>
          <w:szCs w:val="30"/>
        </w:rPr>
        <w:t>Teaching Literature to Adolescents, 3rd edition</w:t>
      </w:r>
    </w:p>
    <w:p w14:paraId="71A7A270" w14:textId="77777777" w:rsidR="005B2556" w:rsidRPr="005B2556" w:rsidRDefault="005B2556" w:rsidP="005B2556">
      <w:pPr>
        <w:numPr>
          <w:ilvl w:val="0"/>
          <w:numId w:val="5"/>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Ray Bradbury, </w:t>
      </w:r>
      <w:r w:rsidRPr="005B2556">
        <w:rPr>
          <w:rFonts w:ascii="Arial" w:eastAsia="Times New Roman" w:hAnsi="Arial" w:cs="Arial"/>
          <w:i/>
          <w:iCs/>
          <w:color w:val="000000"/>
          <w:sz w:val="30"/>
          <w:szCs w:val="30"/>
        </w:rPr>
        <w:t>Fahrenheit 451</w:t>
      </w:r>
    </w:p>
    <w:p w14:paraId="470FA2E4" w14:textId="77777777" w:rsidR="005B2556" w:rsidRPr="005B2556" w:rsidRDefault="005B2556" w:rsidP="005B2556">
      <w:pPr>
        <w:numPr>
          <w:ilvl w:val="0"/>
          <w:numId w:val="5"/>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Tae Keller, </w:t>
      </w:r>
      <w:r w:rsidRPr="005B2556">
        <w:rPr>
          <w:rFonts w:ascii="Arial" w:eastAsia="Times New Roman" w:hAnsi="Arial" w:cs="Arial"/>
          <w:i/>
          <w:iCs/>
          <w:color w:val="000000"/>
          <w:sz w:val="30"/>
          <w:szCs w:val="30"/>
        </w:rPr>
        <w:t>When You Trap a Tiger</w:t>
      </w:r>
    </w:p>
    <w:p w14:paraId="3DE8D693" w14:textId="77777777" w:rsidR="005B2556" w:rsidRPr="005B2556" w:rsidRDefault="005B2556" w:rsidP="005B2556">
      <w:pPr>
        <w:numPr>
          <w:ilvl w:val="0"/>
          <w:numId w:val="5"/>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Lois Lowry, </w:t>
      </w:r>
      <w:r w:rsidRPr="005B2556">
        <w:rPr>
          <w:rFonts w:ascii="Arial" w:eastAsia="Times New Roman" w:hAnsi="Arial" w:cs="Arial"/>
          <w:i/>
          <w:iCs/>
          <w:color w:val="000000"/>
          <w:sz w:val="30"/>
          <w:szCs w:val="30"/>
        </w:rPr>
        <w:t>The Giver</w:t>
      </w:r>
    </w:p>
    <w:p w14:paraId="287CA5C3" w14:textId="77777777" w:rsidR="005B2556" w:rsidRPr="005B2556" w:rsidRDefault="005B2556" w:rsidP="005B2556">
      <w:pPr>
        <w:numPr>
          <w:ilvl w:val="0"/>
          <w:numId w:val="5"/>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Daniel </w:t>
      </w:r>
      <w:proofErr w:type="spellStart"/>
      <w:r w:rsidRPr="005B2556">
        <w:rPr>
          <w:rFonts w:ascii="Arial" w:eastAsia="Times New Roman" w:hAnsi="Arial" w:cs="Arial"/>
          <w:color w:val="000000"/>
          <w:sz w:val="30"/>
          <w:szCs w:val="30"/>
        </w:rPr>
        <w:t>Nayeri</w:t>
      </w:r>
      <w:proofErr w:type="spellEnd"/>
      <w:r w:rsidRPr="005B2556">
        <w:rPr>
          <w:rFonts w:ascii="Arial" w:eastAsia="Times New Roman" w:hAnsi="Arial" w:cs="Arial"/>
          <w:color w:val="000000"/>
          <w:sz w:val="30"/>
          <w:szCs w:val="30"/>
        </w:rPr>
        <w:t>, </w:t>
      </w:r>
      <w:r w:rsidRPr="005B2556">
        <w:rPr>
          <w:rFonts w:ascii="Arial" w:eastAsia="Times New Roman" w:hAnsi="Arial" w:cs="Arial"/>
          <w:i/>
          <w:iCs/>
          <w:color w:val="000000"/>
          <w:sz w:val="30"/>
          <w:szCs w:val="30"/>
        </w:rPr>
        <w:t>Everything Sad Is Untrue</w:t>
      </w:r>
    </w:p>
    <w:p w14:paraId="50EFF3F1" w14:textId="77777777" w:rsidR="005B2556" w:rsidRPr="005B2556" w:rsidRDefault="005B2556" w:rsidP="005B2556">
      <w:pPr>
        <w:numPr>
          <w:ilvl w:val="0"/>
          <w:numId w:val="5"/>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Marjane Satrapi, Persepolis: </w:t>
      </w:r>
      <w:r w:rsidRPr="005B2556">
        <w:rPr>
          <w:rFonts w:ascii="Arial" w:eastAsia="Times New Roman" w:hAnsi="Arial" w:cs="Arial"/>
          <w:i/>
          <w:iCs/>
          <w:color w:val="000000"/>
          <w:sz w:val="30"/>
          <w:szCs w:val="30"/>
        </w:rPr>
        <w:t>The Story of a Childhood</w:t>
      </w:r>
    </w:p>
    <w:p w14:paraId="206E570B" w14:textId="77777777" w:rsidR="005B2556" w:rsidRPr="005B2556" w:rsidRDefault="005B2556" w:rsidP="005B2556">
      <w:pPr>
        <w:numPr>
          <w:ilvl w:val="0"/>
          <w:numId w:val="5"/>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Elie Wiesel, </w:t>
      </w:r>
      <w:r w:rsidRPr="005B2556">
        <w:rPr>
          <w:rFonts w:ascii="Arial" w:eastAsia="Times New Roman" w:hAnsi="Arial" w:cs="Arial"/>
          <w:i/>
          <w:iCs/>
          <w:color w:val="000000"/>
          <w:sz w:val="30"/>
          <w:szCs w:val="30"/>
        </w:rPr>
        <w:t>Night</w:t>
      </w:r>
    </w:p>
    <w:p w14:paraId="440E0974"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698D736A" w14:textId="77777777"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ENG 410</w:t>
      </w:r>
    </w:p>
    <w:p w14:paraId="7291A643"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Cross-Cultural Encounters</w:t>
      </w:r>
    </w:p>
    <w:p w14:paraId="58A442BD"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Ery Shin</w:t>
      </w:r>
    </w:p>
    <w:p w14:paraId="30A123CE"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MW 1:00-2:15</w:t>
      </w:r>
    </w:p>
    <w:p w14:paraId="30E752D4"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This course examines the idea of ethnicity on a world stage, thinking through race and its relations with gender, sexuality, class, religion, citizenship, and all the other ways by which an individual comes into focus before the public. It not only crosses national boundaries, but also genres in this pursuit. From South Africa’s psychiatric wards to Oakland’s freeways—from spiritual memoirs to bilingual poetry—this lecture-seminar series delves into those liminal social spaces dividing the powerful from the abject.</w:t>
      </w:r>
    </w:p>
    <w:p w14:paraId="35616350"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Sample reading/viewing list: Tommy Orange’s </w:t>
      </w:r>
      <w:r w:rsidRPr="005B2556">
        <w:rPr>
          <w:rFonts w:ascii="Arial" w:eastAsia="Times New Roman" w:hAnsi="Arial" w:cs="Arial"/>
          <w:i/>
          <w:iCs/>
          <w:color w:val="000000"/>
          <w:sz w:val="30"/>
          <w:szCs w:val="30"/>
        </w:rPr>
        <w:t xml:space="preserve">There </w:t>
      </w:r>
      <w:proofErr w:type="spellStart"/>
      <w:r w:rsidRPr="005B2556">
        <w:rPr>
          <w:rFonts w:ascii="Arial" w:eastAsia="Times New Roman" w:hAnsi="Arial" w:cs="Arial"/>
          <w:i/>
          <w:iCs/>
          <w:color w:val="000000"/>
          <w:sz w:val="30"/>
          <w:szCs w:val="30"/>
        </w:rPr>
        <w:t>There</w:t>
      </w:r>
      <w:proofErr w:type="spellEnd"/>
      <w:r w:rsidRPr="005B2556">
        <w:rPr>
          <w:rFonts w:ascii="Arial" w:eastAsia="Times New Roman" w:hAnsi="Arial" w:cs="Arial"/>
          <w:color w:val="000000"/>
          <w:sz w:val="30"/>
          <w:szCs w:val="30"/>
        </w:rPr>
        <w:t xml:space="preserve">; </w:t>
      </w:r>
      <w:proofErr w:type="spellStart"/>
      <w:r w:rsidRPr="005B2556">
        <w:rPr>
          <w:rFonts w:ascii="Arial" w:eastAsia="Times New Roman" w:hAnsi="Arial" w:cs="Arial"/>
          <w:color w:val="000000"/>
          <w:sz w:val="30"/>
          <w:szCs w:val="30"/>
        </w:rPr>
        <w:t>Sonsyrea</w:t>
      </w:r>
      <w:proofErr w:type="spellEnd"/>
      <w:r w:rsidRPr="005B2556">
        <w:rPr>
          <w:rFonts w:ascii="Arial" w:eastAsia="Times New Roman" w:hAnsi="Arial" w:cs="Arial"/>
          <w:color w:val="000000"/>
          <w:sz w:val="30"/>
          <w:szCs w:val="30"/>
        </w:rPr>
        <w:t xml:space="preserve"> Tate’s </w:t>
      </w:r>
      <w:r w:rsidRPr="005B2556">
        <w:rPr>
          <w:rFonts w:ascii="Arial" w:eastAsia="Times New Roman" w:hAnsi="Arial" w:cs="Arial"/>
          <w:i/>
          <w:iCs/>
          <w:color w:val="000000"/>
          <w:sz w:val="30"/>
          <w:szCs w:val="30"/>
        </w:rPr>
        <w:t>Little X: Growing Up in the Nation of Islam</w:t>
      </w:r>
      <w:r w:rsidRPr="005B2556">
        <w:rPr>
          <w:rFonts w:ascii="Arial" w:eastAsia="Times New Roman" w:hAnsi="Arial" w:cs="Arial"/>
          <w:color w:val="000000"/>
          <w:sz w:val="30"/>
          <w:szCs w:val="30"/>
        </w:rPr>
        <w:t>; Gloria E. Anzaldúa's </w:t>
      </w:r>
      <w:r w:rsidRPr="005B2556">
        <w:rPr>
          <w:rFonts w:ascii="Arial" w:eastAsia="Times New Roman" w:hAnsi="Arial" w:cs="Arial"/>
          <w:i/>
          <w:iCs/>
          <w:color w:val="000000"/>
          <w:sz w:val="30"/>
          <w:szCs w:val="30"/>
        </w:rPr>
        <w:t>Borderlands/La Frontera: The New Mestiza</w:t>
      </w:r>
      <w:r w:rsidRPr="005B2556">
        <w:rPr>
          <w:rFonts w:ascii="Arial" w:eastAsia="Times New Roman" w:hAnsi="Arial" w:cs="Arial"/>
          <w:color w:val="000000"/>
          <w:sz w:val="30"/>
          <w:szCs w:val="30"/>
        </w:rPr>
        <w:t xml:space="preserve">; K. </w:t>
      </w:r>
      <w:proofErr w:type="spellStart"/>
      <w:r w:rsidRPr="005B2556">
        <w:rPr>
          <w:rFonts w:ascii="Arial" w:eastAsia="Times New Roman" w:hAnsi="Arial" w:cs="Arial"/>
          <w:color w:val="000000"/>
          <w:sz w:val="30"/>
          <w:szCs w:val="30"/>
        </w:rPr>
        <w:t>Sello</w:t>
      </w:r>
      <w:proofErr w:type="spellEnd"/>
      <w:r w:rsidRPr="005B2556">
        <w:rPr>
          <w:rFonts w:ascii="Arial" w:eastAsia="Times New Roman" w:hAnsi="Arial" w:cs="Arial"/>
          <w:color w:val="000000"/>
          <w:sz w:val="30"/>
          <w:szCs w:val="30"/>
        </w:rPr>
        <w:t xml:space="preserve"> Duiker’s </w:t>
      </w:r>
      <w:r w:rsidRPr="005B2556">
        <w:rPr>
          <w:rFonts w:ascii="Arial" w:eastAsia="Times New Roman" w:hAnsi="Arial" w:cs="Arial"/>
          <w:i/>
          <w:iCs/>
          <w:color w:val="000000"/>
          <w:sz w:val="30"/>
          <w:szCs w:val="30"/>
        </w:rPr>
        <w:t>The Quiet Violence of Dreams</w:t>
      </w:r>
      <w:r w:rsidRPr="005B2556">
        <w:rPr>
          <w:rFonts w:ascii="Arial" w:eastAsia="Times New Roman" w:hAnsi="Arial" w:cs="Arial"/>
          <w:color w:val="000000"/>
          <w:sz w:val="30"/>
          <w:szCs w:val="30"/>
        </w:rPr>
        <w:t>; Raoul Peck’s </w:t>
      </w:r>
      <w:r w:rsidRPr="005B2556">
        <w:rPr>
          <w:rFonts w:ascii="Arial" w:eastAsia="Times New Roman" w:hAnsi="Arial" w:cs="Arial"/>
          <w:i/>
          <w:iCs/>
          <w:color w:val="000000"/>
          <w:sz w:val="30"/>
          <w:szCs w:val="30"/>
        </w:rPr>
        <w:t>I Am Not Your Negro</w:t>
      </w:r>
    </w:p>
    <w:p w14:paraId="742BB4CC"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lastRenderedPageBreak/>
        <w:t> </w:t>
      </w:r>
    </w:p>
    <w:p w14:paraId="4BC3F3EA" w14:textId="765903E9"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drawing>
          <wp:inline distT="0" distB="0" distL="0" distR="0" wp14:anchorId="482F3EA2" wp14:editId="46CE6081">
            <wp:extent cx="4762500" cy="2675890"/>
            <wp:effectExtent l="0" t="0" r="0" b="0"/>
            <wp:docPr id="6" name="Picture 6" descr="E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G 4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419</w:t>
      </w:r>
    </w:p>
    <w:p w14:paraId="377130F3"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Studies in World Literature</w:t>
      </w:r>
    </w:p>
    <w:p w14:paraId="0C6FA50F"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World Science Fiction</w:t>
      </w:r>
    </w:p>
    <w:p w14:paraId="321BEE91"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Luis Iglesias</w:t>
      </w:r>
    </w:p>
    <w:p w14:paraId="749BFA67"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MW 11:00-12:15 (H001)</w:t>
      </w:r>
    </w:p>
    <w:p w14:paraId="1EE2376F"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Over its history, the genre of Science Fiction has been predominantly an Anglo-American tradition that arose out of the West’s Age of Enlightenment and Scientific Revolutions. However, the 21st Century has seen the rise and increasing popularity of Science Fiction written by writers of color and from non-Western nations. This course will read and explore the expansive reach of Global Science Fiction, examining the cultural and national inflections made visible through a body of diverse works including novels, short stories, and films by writers and </w:t>
      </w:r>
      <w:proofErr w:type="gramStart"/>
      <w:r w:rsidRPr="005B2556">
        <w:rPr>
          <w:rFonts w:ascii="Arial" w:eastAsia="Times New Roman" w:hAnsi="Arial" w:cs="Arial"/>
          <w:color w:val="000000"/>
          <w:sz w:val="30"/>
          <w:szCs w:val="30"/>
        </w:rPr>
        <w:t>film-makers</w:t>
      </w:r>
      <w:proofErr w:type="gramEnd"/>
      <w:r w:rsidRPr="005B2556">
        <w:rPr>
          <w:rFonts w:ascii="Arial" w:eastAsia="Times New Roman" w:hAnsi="Arial" w:cs="Arial"/>
          <w:color w:val="000000"/>
          <w:sz w:val="30"/>
          <w:szCs w:val="30"/>
        </w:rPr>
        <w:t xml:space="preserve"> from around the world.</w:t>
      </w:r>
    </w:p>
    <w:p w14:paraId="67755418"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Among the readings</w:t>
      </w:r>
      <w:r w:rsidRPr="005B2556">
        <w:rPr>
          <w:rFonts w:ascii="Arial" w:eastAsia="Times New Roman" w:hAnsi="Arial" w:cs="Arial"/>
          <w:color w:val="000000"/>
          <w:sz w:val="30"/>
          <w:szCs w:val="30"/>
        </w:rPr>
        <w:t>:</w:t>
      </w:r>
    </w:p>
    <w:p w14:paraId="1B281475"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Lagoon</w:t>
      </w:r>
      <w:r w:rsidRPr="005B2556">
        <w:rPr>
          <w:rFonts w:ascii="Arial" w:eastAsia="Times New Roman" w:hAnsi="Arial" w:cs="Arial"/>
          <w:color w:val="000000"/>
          <w:sz w:val="30"/>
          <w:szCs w:val="30"/>
        </w:rPr>
        <w:t xml:space="preserve"> (2014), </w:t>
      </w:r>
      <w:proofErr w:type="spellStart"/>
      <w:r w:rsidRPr="005B2556">
        <w:rPr>
          <w:rFonts w:ascii="Arial" w:eastAsia="Times New Roman" w:hAnsi="Arial" w:cs="Arial"/>
          <w:color w:val="000000"/>
          <w:sz w:val="30"/>
          <w:szCs w:val="30"/>
        </w:rPr>
        <w:t>Nndeki</w:t>
      </w:r>
      <w:proofErr w:type="spellEnd"/>
      <w:r w:rsidRPr="005B2556">
        <w:rPr>
          <w:rFonts w:ascii="Arial" w:eastAsia="Times New Roman" w:hAnsi="Arial" w:cs="Arial"/>
          <w:color w:val="000000"/>
          <w:sz w:val="30"/>
          <w:szCs w:val="30"/>
        </w:rPr>
        <w:t xml:space="preserve"> </w:t>
      </w:r>
      <w:proofErr w:type="spellStart"/>
      <w:r w:rsidRPr="005B2556">
        <w:rPr>
          <w:rFonts w:ascii="Arial" w:eastAsia="Times New Roman" w:hAnsi="Arial" w:cs="Arial"/>
          <w:color w:val="000000"/>
          <w:sz w:val="30"/>
          <w:szCs w:val="30"/>
        </w:rPr>
        <w:t>Okorafor</w:t>
      </w:r>
      <w:proofErr w:type="spellEnd"/>
      <w:r w:rsidRPr="005B2556">
        <w:rPr>
          <w:rFonts w:ascii="Arial" w:eastAsia="Times New Roman" w:hAnsi="Arial" w:cs="Arial"/>
          <w:color w:val="000000"/>
          <w:sz w:val="30"/>
          <w:szCs w:val="30"/>
        </w:rPr>
        <w:t xml:space="preserve"> (Nigeria)</w:t>
      </w:r>
    </w:p>
    <w:p w14:paraId="6BA58A05"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The Three-Body Problem </w:t>
      </w:r>
      <w:r w:rsidRPr="005B2556">
        <w:rPr>
          <w:rFonts w:ascii="Arial" w:eastAsia="Times New Roman" w:hAnsi="Arial" w:cs="Arial"/>
          <w:color w:val="000000"/>
          <w:sz w:val="30"/>
          <w:szCs w:val="30"/>
        </w:rPr>
        <w:t xml:space="preserve">(2008) Liu </w:t>
      </w:r>
      <w:proofErr w:type="spellStart"/>
      <w:r w:rsidRPr="005B2556">
        <w:rPr>
          <w:rFonts w:ascii="Arial" w:eastAsia="Times New Roman" w:hAnsi="Arial" w:cs="Arial"/>
          <w:color w:val="000000"/>
          <w:sz w:val="30"/>
          <w:szCs w:val="30"/>
        </w:rPr>
        <w:t>Cixin</w:t>
      </w:r>
      <w:proofErr w:type="spellEnd"/>
      <w:r w:rsidRPr="005B2556">
        <w:rPr>
          <w:rFonts w:ascii="Arial" w:eastAsia="Times New Roman" w:hAnsi="Arial" w:cs="Arial"/>
          <w:color w:val="000000"/>
          <w:sz w:val="30"/>
          <w:szCs w:val="30"/>
        </w:rPr>
        <w:t xml:space="preserve"> (China)</w:t>
      </w:r>
    </w:p>
    <w:p w14:paraId="48ACC087"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lastRenderedPageBreak/>
        <w:t>Super, Extra, Grande</w:t>
      </w:r>
      <w:r w:rsidRPr="005B2556">
        <w:rPr>
          <w:rFonts w:ascii="Arial" w:eastAsia="Times New Roman" w:hAnsi="Arial" w:cs="Arial"/>
          <w:color w:val="000000"/>
          <w:sz w:val="30"/>
          <w:szCs w:val="30"/>
        </w:rPr>
        <w:t> (2016) YOSS (Cuba)</w:t>
      </w:r>
    </w:p>
    <w:p w14:paraId="2662C54C"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Frankenstein in Baghdad</w:t>
      </w:r>
      <w:r w:rsidRPr="005B2556">
        <w:rPr>
          <w:rFonts w:ascii="Arial" w:eastAsia="Times New Roman" w:hAnsi="Arial" w:cs="Arial"/>
          <w:color w:val="000000"/>
          <w:sz w:val="30"/>
          <w:szCs w:val="30"/>
        </w:rPr>
        <w:t xml:space="preserve"> (2013), Ahmed </w:t>
      </w:r>
      <w:proofErr w:type="spellStart"/>
      <w:r w:rsidRPr="005B2556">
        <w:rPr>
          <w:rFonts w:ascii="Arial" w:eastAsia="Times New Roman" w:hAnsi="Arial" w:cs="Arial"/>
          <w:color w:val="000000"/>
          <w:sz w:val="30"/>
          <w:szCs w:val="30"/>
        </w:rPr>
        <w:t>Saadawi</w:t>
      </w:r>
      <w:proofErr w:type="spellEnd"/>
      <w:r w:rsidRPr="005B2556">
        <w:rPr>
          <w:rFonts w:ascii="Arial" w:eastAsia="Times New Roman" w:hAnsi="Arial" w:cs="Arial"/>
          <w:color w:val="000000"/>
          <w:sz w:val="30"/>
          <w:szCs w:val="30"/>
        </w:rPr>
        <w:t xml:space="preserve"> (Iraq)</w:t>
      </w:r>
    </w:p>
    <w:p w14:paraId="3637CEAD"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Central Station</w:t>
      </w:r>
      <w:r w:rsidRPr="005B2556">
        <w:rPr>
          <w:rFonts w:ascii="Arial" w:eastAsia="Times New Roman" w:hAnsi="Arial" w:cs="Arial"/>
          <w:color w:val="000000"/>
          <w:sz w:val="30"/>
          <w:szCs w:val="30"/>
        </w:rPr>
        <w:t xml:space="preserve"> (2018), </w:t>
      </w:r>
      <w:proofErr w:type="spellStart"/>
      <w:r w:rsidRPr="005B2556">
        <w:rPr>
          <w:rFonts w:ascii="Arial" w:eastAsia="Times New Roman" w:hAnsi="Arial" w:cs="Arial"/>
          <w:color w:val="000000"/>
          <w:sz w:val="30"/>
          <w:szCs w:val="30"/>
        </w:rPr>
        <w:t>Lavie</w:t>
      </w:r>
      <w:proofErr w:type="spellEnd"/>
      <w:r w:rsidRPr="005B2556">
        <w:rPr>
          <w:rFonts w:ascii="Arial" w:eastAsia="Times New Roman" w:hAnsi="Arial" w:cs="Arial"/>
          <w:color w:val="000000"/>
          <w:sz w:val="30"/>
          <w:szCs w:val="30"/>
        </w:rPr>
        <w:t xml:space="preserve"> </w:t>
      </w:r>
      <w:proofErr w:type="spellStart"/>
      <w:r w:rsidRPr="005B2556">
        <w:rPr>
          <w:rFonts w:ascii="Arial" w:eastAsia="Times New Roman" w:hAnsi="Arial" w:cs="Arial"/>
          <w:color w:val="000000"/>
          <w:sz w:val="30"/>
          <w:szCs w:val="30"/>
        </w:rPr>
        <w:t>Tidhar</w:t>
      </w:r>
      <w:proofErr w:type="spellEnd"/>
      <w:r w:rsidRPr="005B2556">
        <w:rPr>
          <w:rFonts w:ascii="Arial" w:eastAsia="Times New Roman" w:hAnsi="Arial" w:cs="Arial"/>
          <w:color w:val="000000"/>
          <w:sz w:val="30"/>
          <w:szCs w:val="30"/>
        </w:rPr>
        <w:t xml:space="preserve"> (Israel)</w:t>
      </w:r>
    </w:p>
    <w:p w14:paraId="16008310"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District Nine</w:t>
      </w:r>
      <w:r w:rsidRPr="005B2556">
        <w:rPr>
          <w:rFonts w:ascii="Arial" w:eastAsia="Times New Roman" w:hAnsi="Arial" w:cs="Arial"/>
          <w:color w:val="000000"/>
          <w:sz w:val="30"/>
          <w:szCs w:val="30"/>
        </w:rPr>
        <w:t> (2009), Neill Blomkamp</w:t>
      </w:r>
    </w:p>
    <w:p w14:paraId="2CB0C9D7"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153C0C75" w14:textId="60FE5A6E"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drawing>
          <wp:inline distT="0" distB="0" distL="0" distR="0" wp14:anchorId="5782BB25" wp14:editId="3466A616">
            <wp:extent cx="4762500" cy="2675890"/>
            <wp:effectExtent l="0" t="0" r="0" b="0"/>
            <wp:docPr id="5" name="Picture 5" descr="E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G 4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430 </w:t>
      </w:r>
    </w:p>
    <w:p w14:paraId="3BB6A5B1"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Grant Writing: Advanced Professional and Technical Writing Genres and Topics</w:t>
      </w:r>
    </w:p>
    <w:p w14:paraId="68FF5230"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 xml:space="preserve">Dr. Maria Conti </w:t>
      </w:r>
      <w:proofErr w:type="spellStart"/>
      <w:r w:rsidRPr="005B2556">
        <w:rPr>
          <w:rFonts w:ascii="var(--serif)" w:eastAsia="Times New Roman" w:hAnsi="var(--serif)" w:cs="Times New Roman"/>
          <w:b/>
          <w:bCs/>
          <w:color w:val="000000"/>
          <w:sz w:val="30"/>
          <w:szCs w:val="30"/>
        </w:rPr>
        <w:t>Maravillas</w:t>
      </w:r>
      <w:proofErr w:type="spellEnd"/>
      <w:r w:rsidRPr="005B2556">
        <w:rPr>
          <w:rFonts w:ascii="var(--serif)" w:eastAsia="Times New Roman" w:hAnsi="var(--serif)" w:cs="Times New Roman"/>
          <w:b/>
          <w:bCs/>
          <w:color w:val="000000"/>
          <w:sz w:val="30"/>
          <w:szCs w:val="30"/>
        </w:rPr>
        <w:t xml:space="preserve"> (Dr. M)</w:t>
      </w:r>
    </w:p>
    <w:p w14:paraId="2600E1F1"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4:00-5:15</w:t>
      </w:r>
    </w:p>
    <w:p w14:paraId="0AE8A09D"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What can grant funding do for the organizations and causes that matter to you? </w:t>
      </w:r>
    </w:p>
    <w:p w14:paraId="19665425"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What makes an effective grant proposal?</w:t>
      </w:r>
    </w:p>
    <w:p w14:paraId="05B6D042"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This interactive course provides a step-by-step process for writing grant proposals. You will learn how to identify needs, research relevant sources of funding, and write grant proposals that are tailored for specific audiences. As you develop your proposal, you will receive </w:t>
      </w:r>
      <w:r w:rsidRPr="005B2556">
        <w:rPr>
          <w:rFonts w:ascii="Arial" w:eastAsia="Times New Roman" w:hAnsi="Arial" w:cs="Arial"/>
          <w:color w:val="000000"/>
          <w:sz w:val="30"/>
          <w:szCs w:val="30"/>
        </w:rPr>
        <w:lastRenderedPageBreak/>
        <w:t>individualized feedback on your work and engage meaningfully with the work of others. This course is part of the </w:t>
      </w:r>
      <w:hyperlink r:id="rId22" w:history="1">
        <w:r w:rsidRPr="005B2556">
          <w:rPr>
            <w:rFonts w:ascii="Arial" w:eastAsia="Times New Roman" w:hAnsi="Arial" w:cs="Arial"/>
            <w:b/>
            <w:bCs/>
            <w:color w:val="0000FF"/>
            <w:sz w:val="30"/>
            <w:szCs w:val="30"/>
            <w:u w:val="single"/>
          </w:rPr>
          <w:t>Professional Writing and Public Discourse</w:t>
        </w:r>
      </w:hyperlink>
      <w:r w:rsidRPr="005B2556">
        <w:rPr>
          <w:rFonts w:ascii="Arial" w:eastAsia="Times New Roman" w:hAnsi="Arial" w:cs="Arial"/>
          <w:color w:val="000000"/>
          <w:sz w:val="30"/>
          <w:szCs w:val="30"/>
        </w:rPr>
        <w:t> concentration. After completing this course, you will be able to list experience with grant writing on your resume. </w:t>
      </w:r>
    </w:p>
    <w:p w14:paraId="51602C06"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The ability to write grants is a highly marketable skill that is especially relevant for students interested in the arts, education, nonprofit work, library science, social work, healthcare, and the sciences. Even if you do not expect to write grant proposals in the future, the skills from this hands-on course can be applied to other writing contexts across a range of professional careers. Questions are welcome! Email Dr. M at </w:t>
      </w:r>
      <w:hyperlink r:id="rId23" w:history="1">
        <w:r w:rsidRPr="005B2556">
          <w:rPr>
            <w:rFonts w:ascii="Arial" w:eastAsia="Times New Roman" w:hAnsi="Arial" w:cs="Arial"/>
            <w:b/>
            <w:bCs/>
            <w:color w:val="0000FF"/>
            <w:sz w:val="30"/>
            <w:szCs w:val="30"/>
            <w:u w:val="single"/>
          </w:rPr>
          <w:t>m.contimaravillas@usm.edu</w:t>
        </w:r>
      </w:hyperlink>
      <w:r w:rsidRPr="005B2556">
        <w:rPr>
          <w:rFonts w:ascii="Arial" w:eastAsia="Times New Roman" w:hAnsi="Arial" w:cs="Arial"/>
          <w:color w:val="000000"/>
          <w:sz w:val="30"/>
          <w:szCs w:val="30"/>
        </w:rPr>
        <w:t>.</w:t>
      </w:r>
    </w:p>
    <w:p w14:paraId="7185B6EC"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31C76649"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49ABBD62" w14:textId="698F5A4B"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ENG 445</w:t>
      </w:r>
      <w:r w:rsidRPr="005B2556">
        <w:rPr>
          <w:rFonts w:ascii="var(--serif)" w:eastAsia="Times New Roman" w:hAnsi="var(--serif)" w:cs="Times New Roman"/>
          <w:b/>
          <w:bCs/>
          <w:noProof/>
          <w:color w:val="000000"/>
          <w:sz w:val="36"/>
          <w:szCs w:val="36"/>
        </w:rPr>
        <w:drawing>
          <wp:inline distT="0" distB="0" distL="0" distR="0" wp14:anchorId="4D5262AB" wp14:editId="002D6BDB">
            <wp:extent cx="4762500" cy="2675890"/>
            <wp:effectExtent l="0" t="0" r="0" b="0"/>
            <wp:docPr id="4" name="Picture 4" descr="E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G 4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5C8D41A6"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The Junior Novel and the Pre-History of Young Adult Literature</w:t>
      </w:r>
    </w:p>
    <w:p w14:paraId="321C7078"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Tribunella</w:t>
      </w:r>
    </w:p>
    <w:p w14:paraId="08138C68"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MW 11:00-12:15</w:t>
      </w:r>
    </w:p>
    <w:p w14:paraId="70FE18F7"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Before the development of Young Adult (YA) literature in the late 1960s, the so-called "junior novel" was written for and marketed to </w:t>
      </w:r>
      <w:r w:rsidRPr="005B2556">
        <w:rPr>
          <w:rFonts w:ascii="Arial" w:eastAsia="Times New Roman" w:hAnsi="Arial" w:cs="Arial"/>
          <w:color w:val="000000"/>
          <w:sz w:val="30"/>
          <w:szCs w:val="30"/>
        </w:rPr>
        <w:lastRenderedPageBreak/>
        <w:t>young people who were thought to have outgrown children's books and to be looking for alternatives to adult fiction.  The standard history of YA literature suggests that it offers grittier and more sophisticated fare than its predecessor, while the junior novel tends to be dismissed as hokey and benign.  We will reconsider this history of YA literature by reading a selection of junior novels and noting the complex ways they represent American youth culture, placing these works in conversation with the history of adolescence and the American teenager, and concluding with two landmark novels that represent the turn to contemporary YA fiction.  Readings will include junior novels of different genres: adventure, historical fiction, romance, science fiction, the career novel, and the sports story.</w:t>
      </w:r>
    </w:p>
    <w:p w14:paraId="5F10BBDB"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Possible titles may include:</w:t>
      </w:r>
    </w:p>
    <w:p w14:paraId="2003B1C7"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1. </w:t>
      </w:r>
      <w:r w:rsidRPr="005B2556">
        <w:rPr>
          <w:rFonts w:ascii="Arial" w:eastAsia="Times New Roman" w:hAnsi="Arial" w:cs="Arial"/>
          <w:i/>
          <w:iCs/>
          <w:color w:val="000000"/>
          <w:sz w:val="30"/>
          <w:szCs w:val="30"/>
        </w:rPr>
        <w:t>The Tattooed Man</w:t>
      </w:r>
      <w:r w:rsidRPr="005B2556">
        <w:rPr>
          <w:rFonts w:ascii="Arial" w:eastAsia="Times New Roman" w:hAnsi="Arial" w:cs="Arial"/>
          <w:color w:val="000000"/>
          <w:sz w:val="30"/>
          <w:szCs w:val="30"/>
        </w:rPr>
        <w:t> (1926), Howard Pease</w:t>
      </w:r>
    </w:p>
    <w:p w14:paraId="48C7E460"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2. </w:t>
      </w:r>
      <w:r w:rsidRPr="005B2556">
        <w:rPr>
          <w:rFonts w:ascii="Arial" w:eastAsia="Times New Roman" w:hAnsi="Arial" w:cs="Arial"/>
          <w:i/>
          <w:iCs/>
          <w:color w:val="000000"/>
          <w:sz w:val="30"/>
          <w:szCs w:val="30"/>
        </w:rPr>
        <w:t>Let the Hurricane Roar</w:t>
      </w:r>
      <w:r w:rsidRPr="005B2556">
        <w:rPr>
          <w:rFonts w:ascii="Arial" w:eastAsia="Times New Roman" w:hAnsi="Arial" w:cs="Arial"/>
          <w:color w:val="000000"/>
          <w:sz w:val="30"/>
          <w:szCs w:val="30"/>
        </w:rPr>
        <w:t> [Young Pioneers] (1933), Rose Wilder Lane </w:t>
      </w:r>
    </w:p>
    <w:p w14:paraId="379122D9"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3. </w:t>
      </w:r>
      <w:r w:rsidRPr="005B2556">
        <w:rPr>
          <w:rFonts w:ascii="Arial" w:eastAsia="Times New Roman" w:hAnsi="Arial" w:cs="Arial"/>
          <w:i/>
          <w:iCs/>
          <w:color w:val="000000"/>
          <w:sz w:val="30"/>
          <w:szCs w:val="30"/>
        </w:rPr>
        <w:t>Sue Barton: Student Nurse</w:t>
      </w:r>
      <w:r w:rsidRPr="005B2556">
        <w:rPr>
          <w:rFonts w:ascii="Arial" w:eastAsia="Times New Roman" w:hAnsi="Arial" w:cs="Arial"/>
          <w:color w:val="000000"/>
          <w:sz w:val="30"/>
          <w:szCs w:val="30"/>
        </w:rPr>
        <w:t> (1936), Helen Boylston</w:t>
      </w:r>
      <w:r w:rsidRPr="005B2556">
        <w:rPr>
          <w:rFonts w:ascii="Arial" w:eastAsia="Times New Roman" w:hAnsi="Arial" w:cs="Arial"/>
          <w:color w:val="000000"/>
          <w:sz w:val="30"/>
          <w:szCs w:val="30"/>
        </w:rPr>
        <w:br/>
        <w:t>4. </w:t>
      </w:r>
      <w:r w:rsidRPr="005B2556">
        <w:rPr>
          <w:rFonts w:ascii="Arial" w:eastAsia="Times New Roman" w:hAnsi="Arial" w:cs="Arial"/>
          <w:i/>
          <w:iCs/>
          <w:color w:val="000000"/>
          <w:sz w:val="30"/>
          <w:szCs w:val="30"/>
        </w:rPr>
        <w:t>Iron Duke</w:t>
      </w:r>
      <w:r w:rsidRPr="005B2556">
        <w:rPr>
          <w:rFonts w:ascii="Arial" w:eastAsia="Times New Roman" w:hAnsi="Arial" w:cs="Arial"/>
          <w:color w:val="000000"/>
          <w:sz w:val="30"/>
          <w:szCs w:val="30"/>
        </w:rPr>
        <w:t> (1938), John Tunis</w:t>
      </w:r>
    </w:p>
    <w:p w14:paraId="55F2AEDB"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5. </w:t>
      </w:r>
      <w:r w:rsidRPr="005B2556">
        <w:rPr>
          <w:rFonts w:ascii="Arial" w:eastAsia="Times New Roman" w:hAnsi="Arial" w:cs="Arial"/>
          <w:i/>
          <w:iCs/>
          <w:color w:val="000000"/>
          <w:sz w:val="30"/>
          <w:szCs w:val="30"/>
        </w:rPr>
        <w:t>Seventeenth Summer</w:t>
      </w:r>
      <w:r w:rsidRPr="005B2556">
        <w:rPr>
          <w:rFonts w:ascii="Arial" w:eastAsia="Times New Roman" w:hAnsi="Arial" w:cs="Arial"/>
          <w:color w:val="000000"/>
          <w:sz w:val="30"/>
          <w:szCs w:val="30"/>
        </w:rPr>
        <w:t> (1942), Maureen Daly                                                         </w:t>
      </w:r>
    </w:p>
    <w:p w14:paraId="5A2AE119"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6. </w:t>
      </w:r>
      <w:r w:rsidRPr="005B2556">
        <w:rPr>
          <w:rFonts w:ascii="Arial" w:eastAsia="Times New Roman" w:hAnsi="Arial" w:cs="Arial"/>
          <w:i/>
          <w:iCs/>
          <w:color w:val="000000"/>
          <w:sz w:val="30"/>
          <w:szCs w:val="30"/>
        </w:rPr>
        <w:t>Hot Rod</w:t>
      </w:r>
      <w:r w:rsidRPr="005B2556">
        <w:rPr>
          <w:rFonts w:ascii="Arial" w:eastAsia="Times New Roman" w:hAnsi="Arial" w:cs="Arial"/>
          <w:color w:val="000000"/>
          <w:sz w:val="30"/>
          <w:szCs w:val="30"/>
        </w:rPr>
        <w:t> (1950), Henry Gregor Felsen                                                                       </w:t>
      </w:r>
      <w:r w:rsidRPr="005B2556">
        <w:rPr>
          <w:rFonts w:ascii="Arial" w:eastAsia="Times New Roman" w:hAnsi="Arial" w:cs="Arial"/>
          <w:color w:val="000000"/>
          <w:sz w:val="30"/>
          <w:szCs w:val="30"/>
        </w:rPr>
        <w:br/>
        <w:t>7. </w:t>
      </w:r>
      <w:r w:rsidRPr="005B2556">
        <w:rPr>
          <w:rFonts w:ascii="Arial" w:eastAsia="Times New Roman" w:hAnsi="Arial" w:cs="Arial"/>
          <w:i/>
          <w:iCs/>
          <w:color w:val="000000"/>
          <w:sz w:val="30"/>
          <w:szCs w:val="30"/>
        </w:rPr>
        <w:t>To Tell Your Love</w:t>
      </w:r>
      <w:r w:rsidRPr="005B2556">
        <w:rPr>
          <w:rFonts w:ascii="Arial" w:eastAsia="Times New Roman" w:hAnsi="Arial" w:cs="Arial"/>
          <w:color w:val="000000"/>
          <w:sz w:val="30"/>
          <w:szCs w:val="30"/>
        </w:rPr>
        <w:t> (1950), Mary Stolz</w:t>
      </w:r>
    </w:p>
    <w:p w14:paraId="3A0A583F"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8. </w:t>
      </w:r>
      <w:r w:rsidRPr="005B2556">
        <w:rPr>
          <w:rFonts w:ascii="Arial" w:eastAsia="Times New Roman" w:hAnsi="Arial" w:cs="Arial"/>
          <w:i/>
          <w:iCs/>
          <w:color w:val="000000"/>
          <w:sz w:val="30"/>
          <w:szCs w:val="30"/>
        </w:rPr>
        <w:t>Tunnel in the Sky </w:t>
      </w:r>
      <w:r w:rsidRPr="005B2556">
        <w:rPr>
          <w:rFonts w:ascii="Arial" w:eastAsia="Times New Roman" w:hAnsi="Arial" w:cs="Arial"/>
          <w:color w:val="000000"/>
          <w:sz w:val="30"/>
          <w:szCs w:val="30"/>
        </w:rPr>
        <w:t>(1955), Robert Heinlein</w:t>
      </w:r>
      <w:r w:rsidRPr="005B2556">
        <w:rPr>
          <w:rFonts w:ascii="Arial" w:eastAsia="Times New Roman" w:hAnsi="Arial" w:cs="Arial"/>
          <w:color w:val="000000"/>
          <w:sz w:val="30"/>
          <w:szCs w:val="30"/>
        </w:rPr>
        <w:br/>
        <w:t>9. </w:t>
      </w:r>
      <w:r w:rsidRPr="005B2556">
        <w:rPr>
          <w:rFonts w:ascii="Arial" w:eastAsia="Times New Roman" w:hAnsi="Arial" w:cs="Arial"/>
          <w:i/>
          <w:iCs/>
          <w:color w:val="000000"/>
          <w:sz w:val="30"/>
          <w:szCs w:val="30"/>
        </w:rPr>
        <w:t>South Town</w:t>
      </w:r>
      <w:r w:rsidRPr="005B2556">
        <w:rPr>
          <w:rFonts w:ascii="Arial" w:eastAsia="Times New Roman" w:hAnsi="Arial" w:cs="Arial"/>
          <w:color w:val="000000"/>
          <w:sz w:val="30"/>
          <w:szCs w:val="30"/>
        </w:rPr>
        <w:t> (1958), Lorenz Bell Graham</w:t>
      </w:r>
    </w:p>
    <w:p w14:paraId="39E82C66" w14:textId="77777777" w:rsidR="005B2556" w:rsidRPr="005B2556" w:rsidRDefault="005B2556" w:rsidP="005B2556">
      <w:pPr>
        <w:spacing w:after="0"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10. </w:t>
      </w:r>
      <w:r w:rsidRPr="005B2556">
        <w:rPr>
          <w:rFonts w:ascii="Arial" w:eastAsia="Times New Roman" w:hAnsi="Arial" w:cs="Arial"/>
          <w:i/>
          <w:iCs/>
          <w:color w:val="000000"/>
          <w:sz w:val="30"/>
          <w:szCs w:val="30"/>
        </w:rPr>
        <w:t>The Outsiders</w:t>
      </w:r>
      <w:r w:rsidRPr="005B2556">
        <w:rPr>
          <w:rFonts w:ascii="Arial" w:eastAsia="Times New Roman" w:hAnsi="Arial" w:cs="Arial"/>
          <w:color w:val="000000"/>
          <w:sz w:val="30"/>
          <w:szCs w:val="30"/>
        </w:rPr>
        <w:t> (1967), S.E. Hinton                                                                            </w:t>
      </w:r>
    </w:p>
    <w:p w14:paraId="1AFC11C9"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11. </w:t>
      </w:r>
      <w:r w:rsidRPr="005B2556">
        <w:rPr>
          <w:rFonts w:ascii="Arial" w:eastAsia="Times New Roman" w:hAnsi="Arial" w:cs="Arial"/>
          <w:i/>
          <w:iCs/>
          <w:color w:val="000000"/>
          <w:sz w:val="30"/>
          <w:szCs w:val="30"/>
        </w:rPr>
        <w:t>The Contender </w:t>
      </w:r>
      <w:r w:rsidRPr="005B2556">
        <w:rPr>
          <w:rFonts w:ascii="Arial" w:eastAsia="Times New Roman" w:hAnsi="Arial" w:cs="Arial"/>
          <w:color w:val="000000"/>
          <w:sz w:val="30"/>
          <w:szCs w:val="30"/>
        </w:rPr>
        <w:t>(1968), Robert Lipsyte     </w:t>
      </w:r>
    </w:p>
    <w:p w14:paraId="5342FF7F"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4C507CCF" w14:textId="58D8C6AF"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noProof/>
          <w:color w:val="000000"/>
          <w:sz w:val="36"/>
          <w:szCs w:val="36"/>
        </w:rPr>
        <w:lastRenderedPageBreak/>
        <w:drawing>
          <wp:inline distT="0" distB="0" distL="0" distR="0" wp14:anchorId="6CA006FF" wp14:editId="16871FB9">
            <wp:extent cx="4762500" cy="2675890"/>
            <wp:effectExtent l="0" t="0" r="0" b="0"/>
            <wp:docPr id="3" name="Picture 3" descr="E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G 4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r w:rsidRPr="005B2556">
        <w:rPr>
          <w:rFonts w:ascii="var(--serif)" w:eastAsia="Times New Roman" w:hAnsi="var(--serif)" w:cs="Times New Roman"/>
          <w:b/>
          <w:bCs/>
          <w:color w:val="000000"/>
          <w:sz w:val="36"/>
          <w:szCs w:val="36"/>
        </w:rPr>
        <w:t>ENG 458</w:t>
      </w:r>
    </w:p>
    <w:p w14:paraId="46D0EA97"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16th and 17th Century English Poetry (and Travel in the Realms of Gold)</w:t>
      </w:r>
    </w:p>
    <w:p w14:paraId="57C47114"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 xml:space="preserve">Dr. Jameela </w:t>
      </w:r>
      <w:proofErr w:type="spellStart"/>
      <w:r w:rsidRPr="005B2556">
        <w:rPr>
          <w:rFonts w:ascii="var(--serif)" w:eastAsia="Times New Roman" w:hAnsi="var(--serif)" w:cs="Times New Roman"/>
          <w:b/>
          <w:bCs/>
          <w:color w:val="000000"/>
          <w:sz w:val="30"/>
          <w:szCs w:val="30"/>
        </w:rPr>
        <w:t>Lares</w:t>
      </w:r>
      <w:proofErr w:type="spellEnd"/>
    </w:p>
    <w:p w14:paraId="2632FE62"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MW 1:00-2:15</w:t>
      </w:r>
    </w:p>
    <w:p w14:paraId="0D55C195"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The sixteenth and seventeenth centuries were remarkable for English poetry. This period was the Renaissance, the age of such poets as Wyatt, Surrey, Spenser, the </w:t>
      </w:r>
      <w:proofErr w:type="gramStart"/>
      <w:r w:rsidRPr="005B2556">
        <w:rPr>
          <w:rFonts w:ascii="Arial" w:eastAsia="Times New Roman" w:hAnsi="Arial" w:cs="Arial"/>
          <w:color w:val="000000"/>
          <w:sz w:val="30"/>
          <w:szCs w:val="30"/>
        </w:rPr>
        <w:t>Philip</w:t>
      </w:r>
      <w:proofErr w:type="gramEnd"/>
      <w:r w:rsidRPr="005B2556">
        <w:rPr>
          <w:rFonts w:ascii="Arial" w:eastAsia="Times New Roman" w:hAnsi="Arial" w:cs="Arial"/>
          <w:color w:val="000000"/>
          <w:sz w:val="30"/>
          <w:szCs w:val="30"/>
        </w:rPr>
        <w:t xml:space="preserve"> and Mary Sidney, Wroth, Shakespeare; Donne, Herbert, and other </w:t>
      </w:r>
      <w:proofErr w:type="spellStart"/>
      <w:r w:rsidRPr="005B2556">
        <w:rPr>
          <w:rFonts w:ascii="Arial" w:eastAsia="Times New Roman" w:hAnsi="Arial" w:cs="Arial"/>
          <w:color w:val="000000"/>
          <w:sz w:val="30"/>
          <w:szCs w:val="30"/>
        </w:rPr>
        <w:t>metaphysicals</w:t>
      </w:r>
      <w:proofErr w:type="spellEnd"/>
      <w:r w:rsidRPr="005B2556">
        <w:rPr>
          <w:rFonts w:ascii="Arial" w:eastAsia="Times New Roman" w:hAnsi="Arial" w:cs="Arial"/>
          <w:color w:val="000000"/>
          <w:sz w:val="30"/>
          <w:szCs w:val="30"/>
        </w:rPr>
        <w:t>; Cavendish, Philips, and Milton. Our seminar will look at as many poets and forms as possible, along with key Renaissance ideas that inform the poetry. In these two centuries, English was coming into its own as a fully functioning language while English poets were nativizing foreign texts, meters, and forms, so we will also be looking at such translations as Chapman’s Homer that so dazzled John Keats. Cheap, used copies of the main course texts should be plentiful.</w:t>
      </w:r>
    </w:p>
    <w:p w14:paraId="2DF02BA6"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Requirements</w:t>
      </w:r>
      <w:r w:rsidRPr="005B2556">
        <w:rPr>
          <w:rFonts w:ascii="Arial" w:eastAsia="Times New Roman" w:hAnsi="Arial" w:cs="Arial"/>
          <w:color w:val="000000"/>
          <w:sz w:val="30"/>
          <w:szCs w:val="30"/>
        </w:rPr>
        <w:t>: regular reading, posting of discussions, and class participation; an oral presentation on an English Renaissance poet, the facilitation of a discussion, a short poem written in a Renaissance form, and a seminar paper on a topic related to the course but of particular interest to the student.</w:t>
      </w:r>
    </w:p>
    <w:p w14:paraId="71C753D2"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lastRenderedPageBreak/>
        <w:t>Combined with ENG 558.</w:t>
      </w:r>
    </w:p>
    <w:p w14:paraId="06E79B4D"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Required texts</w:t>
      </w:r>
      <w:r w:rsidRPr="005B2556">
        <w:rPr>
          <w:rFonts w:ascii="Arial" w:eastAsia="Times New Roman" w:hAnsi="Arial" w:cs="Arial"/>
          <w:color w:val="000000"/>
          <w:sz w:val="30"/>
          <w:szCs w:val="30"/>
        </w:rPr>
        <w:t>:</w:t>
      </w:r>
    </w:p>
    <w:p w14:paraId="7E3D7DC2" w14:textId="77777777" w:rsidR="005B2556" w:rsidRPr="005B2556" w:rsidRDefault="005B2556" w:rsidP="005B2556">
      <w:pPr>
        <w:numPr>
          <w:ilvl w:val="0"/>
          <w:numId w:val="6"/>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Greenblatt, gen ed., </w:t>
      </w:r>
      <w:r w:rsidRPr="005B2556">
        <w:rPr>
          <w:rFonts w:ascii="Arial" w:eastAsia="Times New Roman" w:hAnsi="Arial" w:cs="Arial"/>
          <w:i/>
          <w:iCs/>
          <w:color w:val="000000"/>
          <w:sz w:val="30"/>
          <w:szCs w:val="30"/>
        </w:rPr>
        <w:t>Norton Anthology of English Literature</w:t>
      </w:r>
      <w:r w:rsidRPr="005B2556">
        <w:rPr>
          <w:rFonts w:ascii="Arial" w:eastAsia="Times New Roman" w:hAnsi="Arial" w:cs="Arial"/>
          <w:color w:val="000000"/>
          <w:sz w:val="30"/>
          <w:szCs w:val="30"/>
        </w:rPr>
        <w:t>, 10th ed., vol. B.</w:t>
      </w:r>
    </w:p>
    <w:p w14:paraId="180E82CD" w14:textId="77777777" w:rsidR="005B2556" w:rsidRPr="005B2556" w:rsidRDefault="005B2556" w:rsidP="005B2556">
      <w:pPr>
        <w:numPr>
          <w:ilvl w:val="0"/>
          <w:numId w:val="6"/>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Rivers, </w:t>
      </w:r>
      <w:r w:rsidRPr="005B2556">
        <w:rPr>
          <w:rFonts w:ascii="Arial" w:eastAsia="Times New Roman" w:hAnsi="Arial" w:cs="Arial"/>
          <w:i/>
          <w:iCs/>
          <w:color w:val="000000"/>
          <w:sz w:val="30"/>
          <w:szCs w:val="30"/>
        </w:rPr>
        <w:t>Classical and Christian Ideas in English Renaissance Poetry</w:t>
      </w:r>
      <w:r w:rsidRPr="005B2556">
        <w:rPr>
          <w:rFonts w:ascii="Arial" w:eastAsia="Times New Roman" w:hAnsi="Arial" w:cs="Arial"/>
          <w:color w:val="000000"/>
          <w:sz w:val="30"/>
          <w:szCs w:val="30"/>
        </w:rPr>
        <w:t>, 2nd ed.</w:t>
      </w:r>
    </w:p>
    <w:p w14:paraId="7FBCA7BE" w14:textId="77777777" w:rsidR="005B2556" w:rsidRPr="005B2556" w:rsidRDefault="005B2556" w:rsidP="005B2556">
      <w:pPr>
        <w:numPr>
          <w:ilvl w:val="0"/>
          <w:numId w:val="6"/>
        </w:num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Online resources as necessary.</w:t>
      </w:r>
    </w:p>
    <w:p w14:paraId="037C29D9"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4D5E2D31" w14:textId="32E4C6FA"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ENG 465</w:t>
      </w:r>
      <w:r w:rsidRPr="005B2556">
        <w:rPr>
          <w:rFonts w:ascii="var(--serif)" w:eastAsia="Times New Roman" w:hAnsi="var(--serif)" w:cs="Times New Roman"/>
          <w:b/>
          <w:bCs/>
          <w:noProof/>
          <w:color w:val="000000"/>
          <w:sz w:val="36"/>
          <w:szCs w:val="36"/>
        </w:rPr>
        <w:drawing>
          <wp:inline distT="0" distB="0" distL="0" distR="0" wp14:anchorId="52394C69" wp14:editId="09559293">
            <wp:extent cx="4762500" cy="2675890"/>
            <wp:effectExtent l="0" t="0" r="0" b="0"/>
            <wp:docPr id="2" name="Picture 2" descr="E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G 4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30F895F5"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Romanticism &amp; Modern “Disability”</w:t>
      </w:r>
    </w:p>
    <w:p w14:paraId="4B9D93B9"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Dr. Emily Stanback</w:t>
      </w:r>
    </w:p>
    <w:p w14:paraId="7738F120"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TR 11:00-12:15</w:t>
      </w:r>
    </w:p>
    <w:p w14:paraId="5E875F6B"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xml:space="preserve">Many of the most enduring characters from Romantic-era literature, from Coleridge’s Ancient Mariner to Frankenstein’s Creature, are characterized by the kinds of bodies and minds that we would call “disabled.” Many Romantic-era authors also lived with conditions that, then and now, were pathologized by medicine—and most explicitly claimed the importance of these embodied states to their lives and writing. For example, Samuel Taylor Coleridge wrote letters and </w:t>
      </w:r>
      <w:r w:rsidRPr="005B2556">
        <w:rPr>
          <w:rFonts w:ascii="Arial" w:eastAsia="Times New Roman" w:hAnsi="Arial" w:cs="Arial"/>
          <w:color w:val="000000"/>
          <w:sz w:val="30"/>
          <w:szCs w:val="30"/>
        </w:rPr>
        <w:lastRenderedPageBreak/>
        <w:t>poetry about a wide range of chronic bodily and mental symptoms, Mary Prince spoke movingly about her rheumatism, Thomas De Quincey minutely tracked his “crazy body,” and Charles Lamb wrote about his stuttering, limping, and experience of madness.</w:t>
      </w:r>
    </w:p>
    <w:p w14:paraId="0A648363"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This course seeks to explore the ways in which disability influenced Romantic-era literature and culture, as well as the extent to which conceptions of “disability”—in the modern sense of the word—developed during the era. Mindful of intersectionality, we will also consider how experiences of, and literary depictions of, disability can be shaped by race, gender, and class.</w:t>
      </w:r>
    </w:p>
    <w:p w14:paraId="4D111593"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We will consider primary texts by authors including Coleridge, Prince, De Quincey, Lamb, Mary Shelley, Lord Byron, Mary Wollstonecraft, John Keats, Dorothy Wordsworth, and John Clare. We will also look at relevant medical texts and contexts.</w:t>
      </w:r>
    </w:p>
    <w:p w14:paraId="2375937A"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70A77873" w14:textId="06D1CB6C" w:rsidR="005B2556" w:rsidRPr="005B2556" w:rsidRDefault="005B2556" w:rsidP="005B2556">
      <w:pPr>
        <w:spacing w:before="360" w:after="240" w:line="240" w:lineRule="auto"/>
        <w:outlineLvl w:val="1"/>
        <w:rPr>
          <w:rFonts w:ascii="var(--serif)" w:eastAsia="Times New Roman" w:hAnsi="var(--serif)" w:cs="Times New Roman"/>
          <w:b/>
          <w:bCs/>
          <w:color w:val="000000"/>
          <w:sz w:val="36"/>
          <w:szCs w:val="36"/>
        </w:rPr>
      </w:pPr>
      <w:r w:rsidRPr="005B2556">
        <w:rPr>
          <w:rFonts w:ascii="var(--serif)" w:eastAsia="Times New Roman" w:hAnsi="var(--serif)" w:cs="Times New Roman"/>
          <w:b/>
          <w:bCs/>
          <w:color w:val="000000"/>
          <w:sz w:val="36"/>
          <w:szCs w:val="36"/>
        </w:rPr>
        <w:t>ENG 477</w:t>
      </w:r>
      <w:r w:rsidRPr="005B2556">
        <w:rPr>
          <w:rFonts w:ascii="var(--serif)" w:eastAsia="Times New Roman" w:hAnsi="var(--serif)" w:cs="Times New Roman"/>
          <w:b/>
          <w:bCs/>
          <w:noProof/>
          <w:color w:val="000000"/>
          <w:sz w:val="36"/>
          <w:szCs w:val="36"/>
        </w:rPr>
        <w:drawing>
          <wp:inline distT="0" distB="0" distL="0" distR="0" wp14:anchorId="7B354802" wp14:editId="7F9B607E">
            <wp:extent cx="4762500" cy="2675890"/>
            <wp:effectExtent l="0" t="0" r="0" b="0"/>
            <wp:docPr id="1" name="Picture 1" descr="E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G 4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0" cy="2675890"/>
                    </a:xfrm>
                    <a:prstGeom prst="rect">
                      <a:avLst/>
                    </a:prstGeom>
                    <a:noFill/>
                    <a:ln>
                      <a:noFill/>
                    </a:ln>
                  </pic:spPr>
                </pic:pic>
              </a:graphicData>
            </a:graphic>
          </wp:inline>
        </w:drawing>
      </w:r>
    </w:p>
    <w:p w14:paraId="63C4B867"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Survey of the American Novel</w:t>
      </w:r>
    </w:p>
    <w:p w14:paraId="0CE34587"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A Wrinkle in Time and the Birth of Postmodernism </w:t>
      </w:r>
    </w:p>
    <w:p w14:paraId="05EEF40F"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t>W 6:00-9:00 </w:t>
      </w:r>
    </w:p>
    <w:p w14:paraId="3B1596C7" w14:textId="77777777" w:rsidR="005B2556" w:rsidRPr="005B2556" w:rsidRDefault="005B2556" w:rsidP="005B2556">
      <w:pPr>
        <w:spacing w:before="240" w:after="240" w:line="240" w:lineRule="auto"/>
        <w:outlineLvl w:val="3"/>
        <w:rPr>
          <w:rFonts w:ascii="var(--serif)" w:eastAsia="Times New Roman" w:hAnsi="var(--serif)" w:cs="Times New Roman"/>
          <w:b/>
          <w:bCs/>
          <w:color w:val="000000"/>
          <w:sz w:val="30"/>
          <w:szCs w:val="30"/>
        </w:rPr>
      </w:pPr>
      <w:r w:rsidRPr="005B2556">
        <w:rPr>
          <w:rFonts w:ascii="var(--serif)" w:eastAsia="Times New Roman" w:hAnsi="var(--serif)" w:cs="Times New Roman"/>
          <w:b/>
          <w:bCs/>
          <w:color w:val="000000"/>
          <w:sz w:val="30"/>
          <w:szCs w:val="30"/>
        </w:rPr>
        <w:lastRenderedPageBreak/>
        <w:t>Dr. Damon Franke</w:t>
      </w:r>
    </w:p>
    <w:p w14:paraId="46461407"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b/>
          <w:bCs/>
          <w:color w:val="000000"/>
          <w:sz w:val="30"/>
          <w:szCs w:val="30"/>
        </w:rPr>
        <w:t>*This course is taught on the Gulf Park campus.</w:t>
      </w:r>
    </w:p>
    <w:p w14:paraId="097B322E"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Course Description: When does postmodernity start? Is it 1945? 1962? 1989? 2001? This course will examine paradigmatic shifts in American sociopolitical issues exemplified by literature, film, song, television, and philosophy.  The following topics in the new ways we think speak to the advent of postmodernity in post-WWII America as something that can be localized around 1960.  The course will follow four short units and two longer units that tie together a new way of thinking with a literary work.  Our course title draws its name from the Young Adult sci-fi adventure </w:t>
      </w:r>
      <w:r w:rsidRPr="005B2556">
        <w:rPr>
          <w:rFonts w:ascii="Arial" w:eastAsia="Times New Roman" w:hAnsi="Arial" w:cs="Arial"/>
          <w:i/>
          <w:iCs/>
          <w:color w:val="000000"/>
          <w:sz w:val="30"/>
          <w:szCs w:val="30"/>
        </w:rPr>
        <w:t>A Wrinkle in Time</w:t>
      </w:r>
      <w:r w:rsidRPr="005B2556">
        <w:rPr>
          <w:rFonts w:ascii="Arial" w:eastAsia="Times New Roman" w:hAnsi="Arial" w:cs="Arial"/>
          <w:color w:val="000000"/>
          <w:sz w:val="30"/>
          <w:szCs w:val="30"/>
        </w:rPr>
        <w:t>, which will emblematize the idea of a time shift or “paradigm change” made famous by Kuhn’s </w:t>
      </w:r>
      <w:r w:rsidRPr="005B2556">
        <w:rPr>
          <w:rFonts w:ascii="Arial" w:eastAsia="Times New Roman" w:hAnsi="Arial" w:cs="Arial"/>
          <w:i/>
          <w:iCs/>
          <w:color w:val="000000"/>
          <w:sz w:val="30"/>
          <w:szCs w:val="30"/>
        </w:rPr>
        <w:t>Structure of Scientific Revolutions</w:t>
      </w:r>
      <w:r w:rsidRPr="005B2556">
        <w:rPr>
          <w:rFonts w:ascii="Arial" w:eastAsia="Times New Roman" w:hAnsi="Arial" w:cs="Arial"/>
          <w:color w:val="000000"/>
          <w:sz w:val="30"/>
          <w:szCs w:val="30"/>
        </w:rPr>
        <w:t>.  The rise of the military-industrial complex and fears of fascist coups are dramatized by </w:t>
      </w:r>
      <w:r w:rsidRPr="005B2556">
        <w:rPr>
          <w:rFonts w:ascii="Arial" w:eastAsia="Times New Roman" w:hAnsi="Arial" w:cs="Arial"/>
          <w:i/>
          <w:iCs/>
          <w:color w:val="000000"/>
          <w:sz w:val="30"/>
          <w:szCs w:val="30"/>
        </w:rPr>
        <w:t>The Man in the High Castle</w:t>
      </w:r>
      <w:r w:rsidRPr="005B2556">
        <w:rPr>
          <w:rFonts w:ascii="Arial" w:eastAsia="Times New Roman" w:hAnsi="Arial" w:cs="Arial"/>
          <w:color w:val="000000"/>
          <w:sz w:val="30"/>
          <w:szCs w:val="30"/>
        </w:rPr>
        <w:t>.  In one of our long units, Friedan’s </w:t>
      </w:r>
      <w:r w:rsidRPr="005B2556">
        <w:rPr>
          <w:rFonts w:ascii="Arial" w:eastAsia="Times New Roman" w:hAnsi="Arial" w:cs="Arial"/>
          <w:i/>
          <w:iCs/>
          <w:color w:val="000000"/>
          <w:sz w:val="30"/>
          <w:szCs w:val="30"/>
        </w:rPr>
        <w:t>The Feminine Mystique</w:t>
      </w:r>
      <w:r w:rsidRPr="005B2556">
        <w:rPr>
          <w:rFonts w:ascii="Arial" w:eastAsia="Times New Roman" w:hAnsi="Arial" w:cs="Arial"/>
          <w:color w:val="000000"/>
          <w:sz w:val="30"/>
          <w:szCs w:val="30"/>
        </w:rPr>
        <w:t> and Cosmo-founder Helen Gurley Brown’s </w:t>
      </w:r>
      <w:r w:rsidRPr="005B2556">
        <w:rPr>
          <w:rFonts w:ascii="Arial" w:eastAsia="Times New Roman" w:hAnsi="Arial" w:cs="Arial"/>
          <w:i/>
          <w:iCs/>
          <w:color w:val="000000"/>
          <w:sz w:val="30"/>
          <w:szCs w:val="30"/>
        </w:rPr>
        <w:t>Sex and the Single Girl</w:t>
      </w:r>
      <w:r w:rsidRPr="005B2556">
        <w:rPr>
          <w:rFonts w:ascii="Arial" w:eastAsia="Times New Roman" w:hAnsi="Arial" w:cs="Arial"/>
          <w:color w:val="000000"/>
          <w:sz w:val="30"/>
          <w:szCs w:val="30"/>
        </w:rPr>
        <w:t> foster a provocative discussion of the disillusionment of domesticity vis-à-vis the potential for careers for women as we read the phenomenal </w:t>
      </w:r>
      <w:r w:rsidRPr="005B2556">
        <w:rPr>
          <w:rFonts w:ascii="Arial" w:eastAsia="Times New Roman" w:hAnsi="Arial" w:cs="Arial"/>
          <w:i/>
          <w:iCs/>
          <w:color w:val="000000"/>
          <w:sz w:val="30"/>
          <w:szCs w:val="30"/>
        </w:rPr>
        <w:t>Revolutionary Road</w:t>
      </w:r>
      <w:r w:rsidRPr="005B2556">
        <w:rPr>
          <w:rFonts w:ascii="Arial" w:eastAsia="Times New Roman" w:hAnsi="Arial" w:cs="Arial"/>
          <w:color w:val="000000"/>
          <w:sz w:val="30"/>
          <w:szCs w:val="30"/>
        </w:rPr>
        <w:t> and Sylvia Plath’s loosely autobiographical </w:t>
      </w:r>
      <w:r w:rsidRPr="005B2556">
        <w:rPr>
          <w:rFonts w:ascii="Arial" w:eastAsia="Times New Roman" w:hAnsi="Arial" w:cs="Arial"/>
          <w:i/>
          <w:iCs/>
          <w:color w:val="000000"/>
          <w:sz w:val="30"/>
          <w:szCs w:val="30"/>
        </w:rPr>
        <w:t>The Bell Jar</w:t>
      </w:r>
      <w:r w:rsidRPr="005B2556">
        <w:rPr>
          <w:rFonts w:ascii="Arial" w:eastAsia="Times New Roman" w:hAnsi="Arial" w:cs="Arial"/>
          <w:color w:val="000000"/>
          <w:sz w:val="30"/>
          <w:szCs w:val="30"/>
        </w:rPr>
        <w:t>.  For our other long unit, the highly anticipated adaptation of </w:t>
      </w:r>
      <w:r w:rsidRPr="005B2556">
        <w:rPr>
          <w:rFonts w:ascii="Arial" w:eastAsia="Times New Roman" w:hAnsi="Arial" w:cs="Arial"/>
          <w:i/>
          <w:iCs/>
          <w:color w:val="000000"/>
          <w:sz w:val="30"/>
          <w:szCs w:val="30"/>
        </w:rPr>
        <w:t>Dune</w:t>
      </w:r>
      <w:r w:rsidRPr="005B2556">
        <w:rPr>
          <w:rFonts w:ascii="Arial" w:eastAsia="Times New Roman" w:hAnsi="Arial" w:cs="Arial"/>
          <w:color w:val="000000"/>
          <w:sz w:val="30"/>
          <w:szCs w:val="30"/>
        </w:rPr>
        <w:t> will appear during the fall semester as it sparks our discussion of environmental thought and the seminal </w:t>
      </w:r>
      <w:r w:rsidRPr="005B2556">
        <w:rPr>
          <w:rFonts w:ascii="Arial" w:eastAsia="Times New Roman" w:hAnsi="Arial" w:cs="Arial"/>
          <w:i/>
          <w:iCs/>
          <w:color w:val="000000"/>
          <w:sz w:val="30"/>
          <w:szCs w:val="30"/>
        </w:rPr>
        <w:t>Silent Spring</w:t>
      </w:r>
      <w:r w:rsidRPr="005B2556">
        <w:rPr>
          <w:rFonts w:ascii="Arial" w:eastAsia="Times New Roman" w:hAnsi="Arial" w:cs="Arial"/>
          <w:color w:val="000000"/>
          <w:sz w:val="30"/>
          <w:szCs w:val="30"/>
        </w:rPr>
        <w:t>.  The outrageous and profound </w:t>
      </w:r>
      <w:r w:rsidRPr="005B2556">
        <w:rPr>
          <w:rFonts w:ascii="Arial" w:eastAsia="Times New Roman" w:hAnsi="Arial" w:cs="Arial"/>
          <w:i/>
          <w:iCs/>
          <w:color w:val="000000"/>
          <w:sz w:val="30"/>
          <w:szCs w:val="30"/>
        </w:rPr>
        <w:t>One Flew Over the Cuckoo’s Nest</w:t>
      </w:r>
      <w:r w:rsidRPr="005B2556">
        <w:rPr>
          <w:rFonts w:ascii="Arial" w:eastAsia="Times New Roman" w:hAnsi="Arial" w:cs="Arial"/>
          <w:color w:val="000000"/>
          <w:sz w:val="30"/>
          <w:szCs w:val="30"/>
        </w:rPr>
        <w:t xml:space="preserve"> will be read </w:t>
      </w:r>
      <w:proofErr w:type="gramStart"/>
      <w:r w:rsidRPr="005B2556">
        <w:rPr>
          <w:rFonts w:ascii="Arial" w:eastAsia="Times New Roman" w:hAnsi="Arial" w:cs="Arial"/>
          <w:color w:val="000000"/>
          <w:sz w:val="30"/>
          <w:szCs w:val="30"/>
        </w:rPr>
        <w:t>in light of</w:t>
      </w:r>
      <w:proofErr w:type="gramEnd"/>
      <w:r w:rsidRPr="005B2556">
        <w:rPr>
          <w:rFonts w:ascii="Arial" w:eastAsia="Times New Roman" w:hAnsi="Arial" w:cs="Arial"/>
          <w:color w:val="000000"/>
          <w:sz w:val="30"/>
          <w:szCs w:val="30"/>
        </w:rPr>
        <w:t xml:space="preserve"> Foucault’s first book </w:t>
      </w:r>
      <w:r w:rsidRPr="005B2556">
        <w:rPr>
          <w:rFonts w:ascii="Arial" w:eastAsia="Times New Roman" w:hAnsi="Arial" w:cs="Arial"/>
          <w:i/>
          <w:iCs/>
          <w:color w:val="000000"/>
          <w:sz w:val="30"/>
          <w:szCs w:val="30"/>
        </w:rPr>
        <w:t>Madness and Civilization</w:t>
      </w:r>
      <w:r w:rsidRPr="005B2556">
        <w:rPr>
          <w:rFonts w:ascii="Arial" w:eastAsia="Times New Roman" w:hAnsi="Arial" w:cs="Arial"/>
          <w:color w:val="000000"/>
          <w:sz w:val="30"/>
          <w:szCs w:val="30"/>
        </w:rPr>
        <w:t>.  Another unit will focus on the Civil Rights Movement by listening to Dylan’s </w:t>
      </w:r>
      <w:r w:rsidRPr="005B2556">
        <w:rPr>
          <w:rFonts w:ascii="Arial" w:eastAsia="Times New Roman" w:hAnsi="Arial" w:cs="Arial"/>
          <w:i/>
          <w:iCs/>
          <w:color w:val="000000"/>
          <w:sz w:val="30"/>
          <w:szCs w:val="30"/>
        </w:rPr>
        <w:t>The Times They Are a-</w:t>
      </w:r>
      <w:proofErr w:type="spellStart"/>
      <w:r w:rsidRPr="005B2556">
        <w:rPr>
          <w:rFonts w:ascii="Arial" w:eastAsia="Times New Roman" w:hAnsi="Arial" w:cs="Arial"/>
          <w:i/>
          <w:iCs/>
          <w:color w:val="000000"/>
          <w:sz w:val="30"/>
          <w:szCs w:val="30"/>
        </w:rPr>
        <w:t>Changin</w:t>
      </w:r>
      <w:proofErr w:type="spellEnd"/>
      <w:r w:rsidRPr="005B2556">
        <w:rPr>
          <w:rFonts w:ascii="Arial" w:eastAsia="Times New Roman" w:hAnsi="Arial" w:cs="Arial"/>
          <w:i/>
          <w:iCs/>
          <w:color w:val="000000"/>
          <w:sz w:val="30"/>
          <w:szCs w:val="30"/>
        </w:rPr>
        <w:t>’</w:t>
      </w:r>
      <w:r w:rsidRPr="005B2556">
        <w:rPr>
          <w:rFonts w:ascii="Arial" w:eastAsia="Times New Roman" w:hAnsi="Arial" w:cs="Arial"/>
          <w:color w:val="000000"/>
          <w:sz w:val="30"/>
          <w:szCs w:val="30"/>
        </w:rPr>
        <w:t xml:space="preserve">, watching an episode of Alfred Hitchcock Presents, and reading Pynchon’s novella “The Secret Integration” </w:t>
      </w:r>
      <w:proofErr w:type="gramStart"/>
      <w:r w:rsidRPr="005B2556">
        <w:rPr>
          <w:rFonts w:ascii="Arial" w:eastAsia="Times New Roman" w:hAnsi="Arial" w:cs="Arial"/>
          <w:color w:val="000000"/>
          <w:sz w:val="30"/>
          <w:szCs w:val="30"/>
        </w:rPr>
        <w:t>in light of</w:t>
      </w:r>
      <w:proofErr w:type="gramEnd"/>
      <w:r w:rsidRPr="005B2556">
        <w:rPr>
          <w:rFonts w:ascii="Arial" w:eastAsia="Times New Roman" w:hAnsi="Arial" w:cs="Arial"/>
          <w:color w:val="000000"/>
          <w:sz w:val="30"/>
          <w:szCs w:val="30"/>
        </w:rPr>
        <w:t xml:space="preserve"> MLK’s letters and speeches.  Many of the works we will read have recently been adapted to the screen, and group work will be done on nostalgic and revisionist films of the period such as </w:t>
      </w:r>
      <w:r w:rsidRPr="005B2556">
        <w:rPr>
          <w:rFonts w:ascii="Arial" w:eastAsia="Times New Roman" w:hAnsi="Arial" w:cs="Arial"/>
          <w:i/>
          <w:iCs/>
          <w:color w:val="000000"/>
          <w:sz w:val="30"/>
          <w:szCs w:val="30"/>
        </w:rPr>
        <w:t>American Graffiti</w:t>
      </w:r>
      <w:r w:rsidRPr="005B2556">
        <w:rPr>
          <w:rFonts w:ascii="Arial" w:eastAsia="Times New Roman" w:hAnsi="Arial" w:cs="Arial"/>
          <w:color w:val="000000"/>
          <w:sz w:val="30"/>
          <w:szCs w:val="30"/>
        </w:rPr>
        <w:t>, </w:t>
      </w:r>
      <w:r w:rsidRPr="005B2556">
        <w:rPr>
          <w:rFonts w:ascii="Arial" w:eastAsia="Times New Roman" w:hAnsi="Arial" w:cs="Arial"/>
          <w:i/>
          <w:iCs/>
          <w:color w:val="000000"/>
          <w:sz w:val="30"/>
          <w:szCs w:val="30"/>
        </w:rPr>
        <w:t>Hairspray,</w:t>
      </w:r>
      <w:r w:rsidRPr="005B2556">
        <w:rPr>
          <w:rFonts w:ascii="Arial" w:eastAsia="Times New Roman" w:hAnsi="Arial" w:cs="Arial"/>
          <w:color w:val="000000"/>
          <w:sz w:val="30"/>
          <w:szCs w:val="30"/>
        </w:rPr>
        <w:t> </w:t>
      </w:r>
      <w:r w:rsidRPr="005B2556">
        <w:rPr>
          <w:rFonts w:ascii="Arial" w:eastAsia="Times New Roman" w:hAnsi="Arial" w:cs="Arial"/>
          <w:i/>
          <w:iCs/>
          <w:color w:val="000000"/>
          <w:sz w:val="30"/>
          <w:szCs w:val="30"/>
        </w:rPr>
        <w:t>Animal House</w:t>
      </w:r>
      <w:r w:rsidRPr="005B2556">
        <w:rPr>
          <w:rFonts w:ascii="Arial" w:eastAsia="Times New Roman" w:hAnsi="Arial" w:cs="Arial"/>
          <w:color w:val="000000"/>
          <w:sz w:val="30"/>
          <w:szCs w:val="30"/>
        </w:rPr>
        <w:t>, </w:t>
      </w:r>
      <w:r w:rsidRPr="005B2556">
        <w:rPr>
          <w:rFonts w:ascii="Arial" w:eastAsia="Times New Roman" w:hAnsi="Arial" w:cs="Arial"/>
          <w:i/>
          <w:iCs/>
          <w:color w:val="000000"/>
          <w:sz w:val="30"/>
          <w:szCs w:val="30"/>
        </w:rPr>
        <w:t>The Sandlot</w:t>
      </w:r>
      <w:r w:rsidRPr="005B2556">
        <w:rPr>
          <w:rFonts w:ascii="Arial" w:eastAsia="Times New Roman" w:hAnsi="Arial" w:cs="Arial"/>
          <w:color w:val="000000"/>
          <w:sz w:val="30"/>
          <w:szCs w:val="30"/>
        </w:rPr>
        <w:t>, </w:t>
      </w:r>
      <w:r w:rsidRPr="005B2556">
        <w:rPr>
          <w:rFonts w:ascii="Arial" w:eastAsia="Times New Roman" w:hAnsi="Arial" w:cs="Arial"/>
          <w:i/>
          <w:iCs/>
          <w:color w:val="000000"/>
          <w:sz w:val="30"/>
          <w:szCs w:val="30"/>
        </w:rPr>
        <w:t>Hidden Figures</w:t>
      </w:r>
      <w:r w:rsidRPr="005B2556">
        <w:rPr>
          <w:rFonts w:ascii="Arial" w:eastAsia="Times New Roman" w:hAnsi="Arial" w:cs="Arial"/>
          <w:color w:val="000000"/>
          <w:sz w:val="30"/>
          <w:szCs w:val="30"/>
        </w:rPr>
        <w:t>, </w:t>
      </w:r>
      <w:r w:rsidRPr="005B2556">
        <w:rPr>
          <w:rFonts w:ascii="Arial" w:eastAsia="Times New Roman" w:hAnsi="Arial" w:cs="Arial"/>
          <w:i/>
          <w:iCs/>
          <w:color w:val="000000"/>
          <w:sz w:val="30"/>
          <w:szCs w:val="30"/>
        </w:rPr>
        <w:t>Green Book</w:t>
      </w:r>
      <w:r w:rsidRPr="005B2556">
        <w:rPr>
          <w:rFonts w:ascii="Arial" w:eastAsia="Times New Roman" w:hAnsi="Arial" w:cs="Arial"/>
          <w:color w:val="000000"/>
          <w:sz w:val="30"/>
          <w:szCs w:val="30"/>
        </w:rPr>
        <w:t>, and </w:t>
      </w:r>
      <w:r w:rsidRPr="005B2556">
        <w:rPr>
          <w:rFonts w:ascii="Arial" w:eastAsia="Times New Roman" w:hAnsi="Arial" w:cs="Arial"/>
          <w:i/>
          <w:iCs/>
          <w:color w:val="000000"/>
          <w:sz w:val="30"/>
          <w:szCs w:val="30"/>
        </w:rPr>
        <w:t>Whatever Happened to Baby Jane</w:t>
      </w:r>
      <w:r w:rsidRPr="005B2556">
        <w:rPr>
          <w:rFonts w:ascii="Arial" w:eastAsia="Times New Roman" w:hAnsi="Arial" w:cs="Arial"/>
          <w:color w:val="000000"/>
          <w:sz w:val="30"/>
          <w:szCs w:val="30"/>
        </w:rPr>
        <w:t>? </w:t>
      </w:r>
    </w:p>
    <w:p w14:paraId="5640B5D3"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i/>
          <w:iCs/>
          <w:color w:val="000000"/>
          <w:sz w:val="30"/>
          <w:szCs w:val="30"/>
        </w:rPr>
        <w:t>Course Texts at Bookstore:</w:t>
      </w:r>
    </w:p>
    <w:p w14:paraId="0B8C3274"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lastRenderedPageBreak/>
        <w:t>Rachel Carson’s </w:t>
      </w:r>
      <w:r w:rsidRPr="005B2556">
        <w:rPr>
          <w:rFonts w:ascii="Arial" w:eastAsia="Times New Roman" w:hAnsi="Arial" w:cs="Arial"/>
          <w:i/>
          <w:iCs/>
          <w:color w:val="000000"/>
          <w:sz w:val="30"/>
          <w:szCs w:val="30"/>
        </w:rPr>
        <w:t>Silent Spring</w:t>
      </w:r>
      <w:r w:rsidRPr="005B2556">
        <w:rPr>
          <w:rFonts w:ascii="Arial" w:eastAsia="Times New Roman" w:hAnsi="Arial" w:cs="Arial"/>
          <w:color w:val="000000"/>
          <w:sz w:val="30"/>
          <w:szCs w:val="30"/>
        </w:rPr>
        <w:t>, Philip K. Dick’s </w:t>
      </w:r>
      <w:r w:rsidRPr="005B2556">
        <w:rPr>
          <w:rFonts w:ascii="Arial" w:eastAsia="Times New Roman" w:hAnsi="Arial" w:cs="Arial"/>
          <w:i/>
          <w:iCs/>
          <w:color w:val="000000"/>
          <w:sz w:val="30"/>
          <w:szCs w:val="30"/>
        </w:rPr>
        <w:t>The Man in the High Castle</w:t>
      </w:r>
      <w:r w:rsidRPr="005B2556">
        <w:rPr>
          <w:rFonts w:ascii="Arial" w:eastAsia="Times New Roman" w:hAnsi="Arial" w:cs="Arial"/>
          <w:color w:val="000000"/>
          <w:sz w:val="30"/>
          <w:szCs w:val="30"/>
        </w:rPr>
        <w:t xml:space="preserve">, Madeleine </w:t>
      </w:r>
      <w:proofErr w:type="spellStart"/>
      <w:r w:rsidRPr="005B2556">
        <w:rPr>
          <w:rFonts w:ascii="Arial" w:eastAsia="Times New Roman" w:hAnsi="Arial" w:cs="Arial"/>
          <w:color w:val="000000"/>
          <w:sz w:val="30"/>
          <w:szCs w:val="30"/>
        </w:rPr>
        <w:t>L’Engle’s</w:t>
      </w:r>
      <w:proofErr w:type="spellEnd"/>
      <w:r w:rsidRPr="005B2556">
        <w:rPr>
          <w:rFonts w:ascii="Arial" w:eastAsia="Times New Roman" w:hAnsi="Arial" w:cs="Arial"/>
          <w:color w:val="000000"/>
          <w:sz w:val="30"/>
          <w:szCs w:val="30"/>
        </w:rPr>
        <w:t> </w:t>
      </w:r>
      <w:proofErr w:type="gramStart"/>
      <w:r w:rsidRPr="005B2556">
        <w:rPr>
          <w:rFonts w:ascii="Arial" w:eastAsia="Times New Roman" w:hAnsi="Arial" w:cs="Arial"/>
          <w:i/>
          <w:iCs/>
          <w:color w:val="000000"/>
          <w:sz w:val="30"/>
          <w:szCs w:val="30"/>
        </w:rPr>
        <w:t>A</w:t>
      </w:r>
      <w:proofErr w:type="gramEnd"/>
      <w:r w:rsidRPr="005B2556">
        <w:rPr>
          <w:rFonts w:ascii="Arial" w:eastAsia="Times New Roman" w:hAnsi="Arial" w:cs="Arial"/>
          <w:i/>
          <w:iCs/>
          <w:color w:val="000000"/>
          <w:sz w:val="30"/>
          <w:szCs w:val="30"/>
        </w:rPr>
        <w:t xml:space="preserve"> Wrinkle in Time</w:t>
      </w:r>
      <w:r w:rsidRPr="005B2556">
        <w:rPr>
          <w:rFonts w:ascii="Arial" w:eastAsia="Times New Roman" w:hAnsi="Arial" w:cs="Arial"/>
          <w:color w:val="000000"/>
          <w:sz w:val="30"/>
          <w:szCs w:val="30"/>
        </w:rPr>
        <w:t>, Frank Herbert’s </w:t>
      </w:r>
      <w:r w:rsidRPr="005B2556">
        <w:rPr>
          <w:rFonts w:ascii="Arial" w:eastAsia="Times New Roman" w:hAnsi="Arial" w:cs="Arial"/>
          <w:i/>
          <w:iCs/>
          <w:color w:val="000000"/>
          <w:sz w:val="30"/>
          <w:szCs w:val="30"/>
        </w:rPr>
        <w:t>Dune,</w:t>
      </w:r>
      <w:r w:rsidRPr="005B2556">
        <w:rPr>
          <w:rFonts w:ascii="Arial" w:eastAsia="Times New Roman" w:hAnsi="Arial" w:cs="Arial"/>
          <w:color w:val="000000"/>
          <w:sz w:val="30"/>
          <w:szCs w:val="30"/>
        </w:rPr>
        <w:t> Ken Kesey’s </w:t>
      </w:r>
      <w:r w:rsidRPr="005B2556">
        <w:rPr>
          <w:rFonts w:ascii="Arial" w:eastAsia="Times New Roman" w:hAnsi="Arial" w:cs="Arial"/>
          <w:i/>
          <w:iCs/>
          <w:color w:val="000000"/>
          <w:sz w:val="30"/>
          <w:szCs w:val="30"/>
        </w:rPr>
        <w:t>One Flew Over the Cuckoo’s Nest</w:t>
      </w:r>
      <w:r w:rsidRPr="005B2556">
        <w:rPr>
          <w:rFonts w:ascii="Arial" w:eastAsia="Times New Roman" w:hAnsi="Arial" w:cs="Arial"/>
          <w:color w:val="000000"/>
          <w:sz w:val="30"/>
          <w:szCs w:val="30"/>
        </w:rPr>
        <w:t>, Sylvia Plath’s </w:t>
      </w:r>
      <w:r w:rsidRPr="005B2556">
        <w:rPr>
          <w:rFonts w:ascii="Arial" w:eastAsia="Times New Roman" w:hAnsi="Arial" w:cs="Arial"/>
          <w:i/>
          <w:iCs/>
          <w:color w:val="000000"/>
          <w:sz w:val="30"/>
          <w:szCs w:val="30"/>
        </w:rPr>
        <w:t>The Bell Jar</w:t>
      </w:r>
      <w:r w:rsidRPr="005B2556">
        <w:rPr>
          <w:rFonts w:ascii="Arial" w:eastAsia="Times New Roman" w:hAnsi="Arial" w:cs="Arial"/>
          <w:color w:val="000000"/>
          <w:sz w:val="30"/>
          <w:szCs w:val="30"/>
        </w:rPr>
        <w:t>, and Richard Yates’s </w:t>
      </w:r>
      <w:r w:rsidRPr="005B2556">
        <w:rPr>
          <w:rFonts w:ascii="Arial" w:eastAsia="Times New Roman" w:hAnsi="Arial" w:cs="Arial"/>
          <w:i/>
          <w:iCs/>
          <w:color w:val="000000"/>
          <w:sz w:val="30"/>
          <w:szCs w:val="30"/>
        </w:rPr>
        <w:t>Revolutionary Road </w:t>
      </w:r>
    </w:p>
    <w:p w14:paraId="1C78349B" w14:textId="77777777" w:rsidR="005B2556" w:rsidRPr="005B2556" w:rsidRDefault="005B2556" w:rsidP="005B2556">
      <w:pPr>
        <w:spacing w:before="100" w:beforeAutospacing="1" w:after="100" w:afterAutospacing="1" w:line="240" w:lineRule="auto"/>
        <w:rPr>
          <w:rFonts w:ascii="Arial" w:eastAsia="Times New Roman" w:hAnsi="Arial" w:cs="Arial"/>
          <w:color w:val="000000"/>
          <w:sz w:val="30"/>
          <w:szCs w:val="30"/>
        </w:rPr>
      </w:pPr>
      <w:r w:rsidRPr="005B2556">
        <w:rPr>
          <w:rFonts w:ascii="Arial" w:eastAsia="Times New Roman" w:hAnsi="Arial" w:cs="Arial"/>
          <w:color w:val="000000"/>
          <w:sz w:val="30"/>
          <w:szCs w:val="30"/>
        </w:rPr>
        <w:t> </w:t>
      </w:r>
    </w:p>
    <w:p w14:paraId="4A86D515" w14:textId="77777777" w:rsidR="005B2556" w:rsidRPr="005B2556" w:rsidRDefault="005B2556" w:rsidP="005B2556">
      <w:pPr>
        <w:spacing w:before="240" w:after="240" w:line="240" w:lineRule="auto"/>
        <w:outlineLvl w:val="2"/>
        <w:rPr>
          <w:rFonts w:ascii="var(--serif)" w:eastAsia="Times New Roman" w:hAnsi="var(--serif)" w:cs="Times New Roman"/>
          <w:b/>
          <w:bCs/>
          <w:color w:val="000000"/>
          <w:sz w:val="27"/>
          <w:szCs w:val="27"/>
        </w:rPr>
      </w:pPr>
      <w:r w:rsidRPr="005B2556">
        <w:rPr>
          <w:rFonts w:ascii="var(--serif)" w:eastAsia="Times New Roman" w:hAnsi="var(--serif)" w:cs="Times New Roman"/>
          <w:b/>
          <w:bCs/>
          <w:color w:val="000000"/>
          <w:sz w:val="27"/>
          <w:szCs w:val="27"/>
        </w:rPr>
        <w:t> </w:t>
      </w:r>
    </w:p>
    <w:p w14:paraId="31A95801" w14:textId="77777777" w:rsidR="005B2556" w:rsidRPr="005B2556" w:rsidRDefault="005B2556" w:rsidP="005B2556">
      <w:pPr>
        <w:spacing w:before="240" w:after="240" w:line="240" w:lineRule="auto"/>
        <w:outlineLvl w:val="2"/>
        <w:rPr>
          <w:rFonts w:ascii="var(--serif)" w:eastAsia="Times New Roman" w:hAnsi="var(--serif)" w:cs="Times New Roman"/>
          <w:b/>
          <w:bCs/>
          <w:color w:val="000000"/>
          <w:sz w:val="27"/>
          <w:szCs w:val="27"/>
        </w:rPr>
      </w:pPr>
      <w:r w:rsidRPr="005B2556">
        <w:rPr>
          <w:rFonts w:ascii="var(--serif)" w:eastAsia="Times New Roman" w:hAnsi="var(--serif)" w:cs="Times New Roman"/>
          <w:b/>
          <w:bCs/>
          <w:color w:val="000000"/>
          <w:sz w:val="27"/>
          <w:szCs w:val="27"/>
        </w:rPr>
        <w:t>Additional Course Offerings in FALL 2021:</w:t>
      </w:r>
    </w:p>
    <w:p w14:paraId="48A1DBE1"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b/>
          <w:bCs/>
          <w:color w:val="000000"/>
          <w:sz w:val="24"/>
          <w:szCs w:val="24"/>
        </w:rPr>
        <w:t>ENG 221</w:t>
      </w:r>
    </w:p>
    <w:p w14:paraId="047D2574"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 xml:space="preserve">Fiction </w:t>
      </w:r>
      <w:proofErr w:type="gramStart"/>
      <w:r w:rsidRPr="005B2556">
        <w:rPr>
          <w:rFonts w:ascii="Arial" w:eastAsia="Times New Roman" w:hAnsi="Arial" w:cs="Arial"/>
          <w:color w:val="000000"/>
          <w:sz w:val="24"/>
          <w:szCs w:val="24"/>
        </w:rPr>
        <w:t>Writing</w:t>
      </w:r>
      <w:proofErr w:type="gramEnd"/>
      <w:r w:rsidRPr="005B2556">
        <w:rPr>
          <w:rFonts w:ascii="Arial" w:eastAsia="Times New Roman" w:hAnsi="Arial" w:cs="Arial"/>
          <w:color w:val="000000"/>
          <w:sz w:val="24"/>
          <w:szCs w:val="24"/>
        </w:rPr>
        <w:t xml:space="preserve"> I </w:t>
      </w:r>
    </w:p>
    <w:p w14:paraId="50127708"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TR 9:30-10:45</w:t>
      </w:r>
    </w:p>
    <w:p w14:paraId="6F6D47F8"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 </w:t>
      </w:r>
    </w:p>
    <w:p w14:paraId="4E6EDBAC"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b/>
          <w:bCs/>
          <w:color w:val="000000"/>
          <w:sz w:val="24"/>
          <w:szCs w:val="24"/>
        </w:rPr>
        <w:t>ENG 222/322/422</w:t>
      </w:r>
    </w:p>
    <w:p w14:paraId="0DEE2297"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 xml:space="preserve">Poetry </w:t>
      </w:r>
      <w:proofErr w:type="gramStart"/>
      <w:r w:rsidRPr="005B2556">
        <w:rPr>
          <w:rFonts w:ascii="Arial" w:eastAsia="Times New Roman" w:hAnsi="Arial" w:cs="Arial"/>
          <w:color w:val="000000"/>
          <w:sz w:val="24"/>
          <w:szCs w:val="24"/>
        </w:rPr>
        <w:t>Writing</w:t>
      </w:r>
      <w:proofErr w:type="gramEnd"/>
      <w:r w:rsidRPr="005B2556">
        <w:rPr>
          <w:rFonts w:ascii="Arial" w:eastAsia="Times New Roman" w:hAnsi="Arial" w:cs="Arial"/>
          <w:color w:val="000000"/>
          <w:sz w:val="24"/>
          <w:szCs w:val="24"/>
        </w:rPr>
        <w:t xml:space="preserve"> I/II/III</w:t>
      </w:r>
    </w:p>
    <w:p w14:paraId="03B1AAD0"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MW 1:00-2:15</w:t>
      </w:r>
    </w:p>
    <w:p w14:paraId="51F2AAA1"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Dr. Angela Ball</w:t>
      </w:r>
    </w:p>
    <w:p w14:paraId="6588BDC0"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 </w:t>
      </w:r>
    </w:p>
    <w:p w14:paraId="49E451BB"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b/>
          <w:bCs/>
          <w:color w:val="000000"/>
          <w:sz w:val="24"/>
          <w:szCs w:val="24"/>
        </w:rPr>
        <w:t>ENG 333</w:t>
      </w:r>
    </w:p>
    <w:p w14:paraId="57204AC0"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Technical Writing</w:t>
      </w:r>
    </w:p>
    <w:p w14:paraId="0CE07D19"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Multiple offerings both in person and online</w:t>
      </w:r>
    </w:p>
    <w:p w14:paraId="1B2BD74A"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 </w:t>
      </w:r>
    </w:p>
    <w:p w14:paraId="7BEEF5FD"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b/>
          <w:bCs/>
          <w:color w:val="000000"/>
          <w:sz w:val="24"/>
          <w:szCs w:val="24"/>
        </w:rPr>
        <w:t>ENG 351</w:t>
      </w:r>
    </w:p>
    <w:p w14:paraId="195FEF63"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British Literature II </w:t>
      </w:r>
    </w:p>
    <w:p w14:paraId="106F61D7"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TR 1:00-2:15</w:t>
      </w:r>
    </w:p>
    <w:p w14:paraId="1C09236A"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Dr. Charles Sumner</w:t>
      </w:r>
    </w:p>
    <w:p w14:paraId="25A056BA"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 </w:t>
      </w:r>
    </w:p>
    <w:p w14:paraId="132BE069"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b/>
          <w:bCs/>
          <w:color w:val="000000"/>
          <w:sz w:val="24"/>
          <w:szCs w:val="24"/>
        </w:rPr>
        <w:t>ENG 370</w:t>
      </w:r>
    </w:p>
    <w:p w14:paraId="154CD086"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American Literature I</w:t>
      </w:r>
    </w:p>
    <w:p w14:paraId="3EE856E2"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MW 2:30-3:45</w:t>
      </w:r>
    </w:p>
    <w:p w14:paraId="7259EA66" w14:textId="77777777" w:rsidR="005B2556" w:rsidRPr="005B2556" w:rsidRDefault="005B2556" w:rsidP="005B2556">
      <w:pPr>
        <w:spacing w:after="0" w:line="240" w:lineRule="auto"/>
        <w:rPr>
          <w:rFonts w:ascii="Arial" w:eastAsia="Times New Roman" w:hAnsi="Arial" w:cs="Arial"/>
          <w:color w:val="000000"/>
          <w:sz w:val="24"/>
          <w:szCs w:val="24"/>
        </w:rPr>
      </w:pPr>
      <w:r w:rsidRPr="005B2556">
        <w:rPr>
          <w:rFonts w:ascii="Arial" w:eastAsia="Times New Roman" w:hAnsi="Arial" w:cs="Arial"/>
          <w:color w:val="000000"/>
          <w:sz w:val="24"/>
          <w:szCs w:val="24"/>
        </w:rPr>
        <w:t>Dr. Luis Iglesias</w:t>
      </w:r>
    </w:p>
    <w:p w14:paraId="3E221999" w14:textId="77777777" w:rsidR="00E825A5" w:rsidRDefault="00E825A5"/>
    <w:sectPr w:rsidR="00E825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r(--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42C1"/>
    <w:multiLevelType w:val="multilevel"/>
    <w:tmpl w:val="4A52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D67576"/>
    <w:multiLevelType w:val="multilevel"/>
    <w:tmpl w:val="0192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9249F6"/>
    <w:multiLevelType w:val="multilevel"/>
    <w:tmpl w:val="3AECD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C01EF2"/>
    <w:multiLevelType w:val="multilevel"/>
    <w:tmpl w:val="B95A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E83AF8"/>
    <w:multiLevelType w:val="multilevel"/>
    <w:tmpl w:val="0ECA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DF4704"/>
    <w:multiLevelType w:val="multilevel"/>
    <w:tmpl w:val="47F2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556"/>
    <w:rsid w:val="005B2556"/>
    <w:rsid w:val="00E82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CC9DB"/>
  <w15:chartTrackingRefBased/>
  <w15:docId w15:val="{DA31A2E0-162B-4D70-BFAA-6962D25A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B255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B25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B255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255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B255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B2556"/>
    <w:rPr>
      <w:rFonts w:ascii="Times New Roman" w:eastAsia="Times New Roman" w:hAnsi="Times New Roman" w:cs="Times New Roman"/>
      <w:b/>
      <w:bCs/>
      <w:sz w:val="24"/>
      <w:szCs w:val="24"/>
    </w:rPr>
  </w:style>
  <w:style w:type="character" w:styleId="Emphasis">
    <w:name w:val="Emphasis"/>
    <w:basedOn w:val="DefaultParagraphFont"/>
    <w:uiPriority w:val="20"/>
    <w:qFormat/>
    <w:rsid w:val="005B2556"/>
    <w:rPr>
      <w:i/>
      <w:iCs/>
    </w:rPr>
  </w:style>
  <w:style w:type="paragraph" w:styleId="NormalWeb">
    <w:name w:val="Normal (Web)"/>
    <w:basedOn w:val="Normal"/>
    <w:uiPriority w:val="99"/>
    <w:semiHidden/>
    <w:unhideWhenUsed/>
    <w:rsid w:val="005B255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B2556"/>
    <w:rPr>
      <w:color w:val="0000FF"/>
      <w:u w:val="single"/>
    </w:rPr>
  </w:style>
  <w:style w:type="character" w:styleId="Strong">
    <w:name w:val="Strong"/>
    <w:basedOn w:val="DefaultParagraphFont"/>
    <w:uiPriority w:val="22"/>
    <w:qFormat/>
    <w:rsid w:val="005B25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506693">
      <w:bodyDiv w:val="1"/>
      <w:marLeft w:val="0"/>
      <w:marRight w:val="0"/>
      <w:marTop w:val="0"/>
      <w:marBottom w:val="0"/>
      <w:divBdr>
        <w:top w:val="none" w:sz="0" w:space="0" w:color="auto"/>
        <w:left w:val="none" w:sz="0" w:space="0" w:color="auto"/>
        <w:bottom w:val="none" w:sz="0" w:space="0" w:color="auto"/>
        <w:right w:val="none" w:sz="0" w:space="0" w:color="auto"/>
      </w:divBdr>
      <w:divsChild>
        <w:div w:id="341057037">
          <w:marLeft w:val="0"/>
          <w:marRight w:val="0"/>
          <w:marTop w:val="0"/>
          <w:marBottom w:val="0"/>
          <w:divBdr>
            <w:top w:val="none" w:sz="0" w:space="0" w:color="auto"/>
            <w:left w:val="none" w:sz="0" w:space="0" w:color="auto"/>
            <w:bottom w:val="none" w:sz="0" w:space="0" w:color="auto"/>
            <w:right w:val="none" w:sz="0" w:space="0" w:color="auto"/>
          </w:divBdr>
        </w:div>
        <w:div w:id="1830708647">
          <w:marLeft w:val="0"/>
          <w:marRight w:val="0"/>
          <w:marTop w:val="0"/>
          <w:marBottom w:val="0"/>
          <w:divBdr>
            <w:top w:val="none" w:sz="0" w:space="0" w:color="auto"/>
            <w:left w:val="none" w:sz="0" w:space="0" w:color="auto"/>
            <w:bottom w:val="none" w:sz="0" w:space="0" w:color="auto"/>
            <w:right w:val="none" w:sz="0" w:space="0" w:color="auto"/>
          </w:divBdr>
        </w:div>
        <w:div w:id="1502085599">
          <w:marLeft w:val="0"/>
          <w:marRight w:val="0"/>
          <w:marTop w:val="0"/>
          <w:marBottom w:val="0"/>
          <w:divBdr>
            <w:top w:val="none" w:sz="0" w:space="0" w:color="auto"/>
            <w:left w:val="none" w:sz="0" w:space="0" w:color="auto"/>
            <w:bottom w:val="none" w:sz="0" w:space="0" w:color="auto"/>
            <w:right w:val="none" w:sz="0" w:space="0" w:color="auto"/>
          </w:divBdr>
        </w:div>
        <w:div w:id="1532494895">
          <w:marLeft w:val="0"/>
          <w:marRight w:val="0"/>
          <w:marTop w:val="0"/>
          <w:marBottom w:val="0"/>
          <w:divBdr>
            <w:top w:val="none" w:sz="0" w:space="0" w:color="auto"/>
            <w:left w:val="none" w:sz="0" w:space="0" w:color="auto"/>
            <w:bottom w:val="none" w:sz="0" w:space="0" w:color="auto"/>
            <w:right w:val="none" w:sz="0" w:space="0" w:color="auto"/>
          </w:divBdr>
        </w:div>
        <w:div w:id="137504570">
          <w:marLeft w:val="0"/>
          <w:marRight w:val="0"/>
          <w:marTop w:val="0"/>
          <w:marBottom w:val="0"/>
          <w:divBdr>
            <w:top w:val="none" w:sz="0" w:space="0" w:color="auto"/>
            <w:left w:val="none" w:sz="0" w:space="0" w:color="auto"/>
            <w:bottom w:val="none" w:sz="0" w:space="0" w:color="auto"/>
            <w:right w:val="none" w:sz="0" w:space="0" w:color="auto"/>
          </w:divBdr>
        </w:div>
        <w:div w:id="1899508102">
          <w:marLeft w:val="0"/>
          <w:marRight w:val="0"/>
          <w:marTop w:val="0"/>
          <w:marBottom w:val="0"/>
          <w:divBdr>
            <w:top w:val="none" w:sz="0" w:space="0" w:color="auto"/>
            <w:left w:val="none" w:sz="0" w:space="0" w:color="auto"/>
            <w:bottom w:val="none" w:sz="0" w:space="0" w:color="auto"/>
            <w:right w:val="none" w:sz="0" w:space="0" w:color="auto"/>
          </w:divBdr>
        </w:div>
        <w:div w:id="987441486">
          <w:marLeft w:val="0"/>
          <w:marRight w:val="0"/>
          <w:marTop w:val="0"/>
          <w:marBottom w:val="0"/>
          <w:divBdr>
            <w:top w:val="none" w:sz="0" w:space="0" w:color="auto"/>
            <w:left w:val="none" w:sz="0" w:space="0" w:color="auto"/>
            <w:bottom w:val="none" w:sz="0" w:space="0" w:color="auto"/>
            <w:right w:val="none" w:sz="0" w:space="0" w:color="auto"/>
          </w:divBdr>
        </w:div>
        <w:div w:id="664017506">
          <w:marLeft w:val="0"/>
          <w:marRight w:val="0"/>
          <w:marTop w:val="0"/>
          <w:marBottom w:val="0"/>
          <w:divBdr>
            <w:top w:val="none" w:sz="0" w:space="0" w:color="auto"/>
            <w:left w:val="none" w:sz="0" w:space="0" w:color="auto"/>
            <w:bottom w:val="none" w:sz="0" w:space="0" w:color="auto"/>
            <w:right w:val="none" w:sz="0" w:space="0" w:color="auto"/>
          </w:divBdr>
        </w:div>
        <w:div w:id="533082546">
          <w:marLeft w:val="0"/>
          <w:marRight w:val="0"/>
          <w:marTop w:val="0"/>
          <w:marBottom w:val="0"/>
          <w:divBdr>
            <w:top w:val="none" w:sz="0" w:space="0" w:color="auto"/>
            <w:left w:val="none" w:sz="0" w:space="0" w:color="auto"/>
            <w:bottom w:val="none" w:sz="0" w:space="0" w:color="auto"/>
            <w:right w:val="none" w:sz="0" w:space="0" w:color="auto"/>
          </w:divBdr>
        </w:div>
        <w:div w:id="417947259">
          <w:marLeft w:val="0"/>
          <w:marRight w:val="0"/>
          <w:marTop w:val="0"/>
          <w:marBottom w:val="0"/>
          <w:divBdr>
            <w:top w:val="none" w:sz="0" w:space="0" w:color="auto"/>
            <w:left w:val="none" w:sz="0" w:space="0" w:color="auto"/>
            <w:bottom w:val="none" w:sz="0" w:space="0" w:color="auto"/>
            <w:right w:val="none" w:sz="0" w:space="0" w:color="auto"/>
          </w:divBdr>
        </w:div>
        <w:div w:id="909467825">
          <w:marLeft w:val="0"/>
          <w:marRight w:val="0"/>
          <w:marTop w:val="0"/>
          <w:marBottom w:val="0"/>
          <w:divBdr>
            <w:top w:val="none" w:sz="0" w:space="0" w:color="auto"/>
            <w:left w:val="none" w:sz="0" w:space="0" w:color="auto"/>
            <w:bottom w:val="none" w:sz="0" w:space="0" w:color="auto"/>
            <w:right w:val="none" w:sz="0" w:space="0" w:color="auto"/>
          </w:divBdr>
        </w:div>
        <w:div w:id="467819461">
          <w:marLeft w:val="0"/>
          <w:marRight w:val="0"/>
          <w:marTop w:val="0"/>
          <w:marBottom w:val="0"/>
          <w:divBdr>
            <w:top w:val="none" w:sz="0" w:space="0" w:color="auto"/>
            <w:left w:val="none" w:sz="0" w:space="0" w:color="auto"/>
            <w:bottom w:val="none" w:sz="0" w:space="0" w:color="auto"/>
            <w:right w:val="none" w:sz="0" w:space="0" w:color="auto"/>
          </w:divBdr>
        </w:div>
        <w:div w:id="811824224">
          <w:marLeft w:val="0"/>
          <w:marRight w:val="0"/>
          <w:marTop w:val="0"/>
          <w:marBottom w:val="0"/>
          <w:divBdr>
            <w:top w:val="none" w:sz="0" w:space="0" w:color="auto"/>
            <w:left w:val="none" w:sz="0" w:space="0" w:color="auto"/>
            <w:bottom w:val="none" w:sz="0" w:space="0" w:color="auto"/>
            <w:right w:val="none" w:sz="0" w:space="0" w:color="auto"/>
          </w:divBdr>
        </w:div>
        <w:div w:id="1633638320">
          <w:marLeft w:val="0"/>
          <w:marRight w:val="0"/>
          <w:marTop w:val="0"/>
          <w:marBottom w:val="0"/>
          <w:divBdr>
            <w:top w:val="none" w:sz="0" w:space="0" w:color="auto"/>
            <w:left w:val="none" w:sz="0" w:space="0" w:color="auto"/>
            <w:bottom w:val="none" w:sz="0" w:space="0" w:color="auto"/>
            <w:right w:val="none" w:sz="0" w:space="0" w:color="auto"/>
          </w:divBdr>
        </w:div>
        <w:div w:id="479343643">
          <w:marLeft w:val="0"/>
          <w:marRight w:val="0"/>
          <w:marTop w:val="0"/>
          <w:marBottom w:val="0"/>
          <w:divBdr>
            <w:top w:val="none" w:sz="0" w:space="0" w:color="auto"/>
            <w:left w:val="none" w:sz="0" w:space="0" w:color="auto"/>
            <w:bottom w:val="none" w:sz="0" w:space="0" w:color="auto"/>
            <w:right w:val="none" w:sz="0" w:space="0" w:color="auto"/>
          </w:divBdr>
        </w:div>
        <w:div w:id="114719906">
          <w:marLeft w:val="0"/>
          <w:marRight w:val="0"/>
          <w:marTop w:val="0"/>
          <w:marBottom w:val="0"/>
          <w:divBdr>
            <w:top w:val="none" w:sz="0" w:space="0" w:color="auto"/>
            <w:left w:val="none" w:sz="0" w:space="0" w:color="auto"/>
            <w:bottom w:val="none" w:sz="0" w:space="0" w:color="auto"/>
            <w:right w:val="none" w:sz="0" w:space="0" w:color="auto"/>
          </w:divBdr>
        </w:div>
        <w:div w:id="172889392">
          <w:marLeft w:val="0"/>
          <w:marRight w:val="0"/>
          <w:marTop w:val="0"/>
          <w:marBottom w:val="0"/>
          <w:divBdr>
            <w:top w:val="none" w:sz="0" w:space="0" w:color="auto"/>
            <w:left w:val="none" w:sz="0" w:space="0" w:color="auto"/>
            <w:bottom w:val="none" w:sz="0" w:space="0" w:color="auto"/>
            <w:right w:val="none" w:sz="0" w:space="0" w:color="auto"/>
          </w:divBdr>
        </w:div>
        <w:div w:id="1666860172">
          <w:marLeft w:val="0"/>
          <w:marRight w:val="0"/>
          <w:marTop w:val="0"/>
          <w:marBottom w:val="0"/>
          <w:divBdr>
            <w:top w:val="none" w:sz="0" w:space="0" w:color="auto"/>
            <w:left w:val="none" w:sz="0" w:space="0" w:color="auto"/>
            <w:bottom w:val="none" w:sz="0" w:space="0" w:color="auto"/>
            <w:right w:val="none" w:sz="0" w:space="0" w:color="auto"/>
          </w:divBdr>
        </w:div>
        <w:div w:id="1417051659">
          <w:marLeft w:val="0"/>
          <w:marRight w:val="0"/>
          <w:marTop w:val="0"/>
          <w:marBottom w:val="0"/>
          <w:divBdr>
            <w:top w:val="none" w:sz="0" w:space="0" w:color="auto"/>
            <w:left w:val="none" w:sz="0" w:space="0" w:color="auto"/>
            <w:bottom w:val="none" w:sz="0" w:space="0" w:color="auto"/>
            <w:right w:val="none" w:sz="0" w:space="0" w:color="auto"/>
          </w:divBdr>
        </w:div>
        <w:div w:id="381636902">
          <w:marLeft w:val="0"/>
          <w:marRight w:val="0"/>
          <w:marTop w:val="0"/>
          <w:marBottom w:val="0"/>
          <w:divBdr>
            <w:top w:val="none" w:sz="0" w:space="0" w:color="auto"/>
            <w:left w:val="none" w:sz="0" w:space="0" w:color="auto"/>
            <w:bottom w:val="none" w:sz="0" w:space="0" w:color="auto"/>
            <w:right w:val="none" w:sz="0" w:space="0" w:color="auto"/>
          </w:divBdr>
        </w:div>
        <w:div w:id="1196845640">
          <w:marLeft w:val="0"/>
          <w:marRight w:val="0"/>
          <w:marTop w:val="0"/>
          <w:marBottom w:val="0"/>
          <w:divBdr>
            <w:top w:val="none" w:sz="0" w:space="0" w:color="auto"/>
            <w:left w:val="none" w:sz="0" w:space="0" w:color="auto"/>
            <w:bottom w:val="none" w:sz="0" w:space="0" w:color="auto"/>
            <w:right w:val="none" w:sz="0" w:space="0" w:color="auto"/>
          </w:divBdr>
        </w:div>
        <w:div w:id="1631010893">
          <w:marLeft w:val="0"/>
          <w:marRight w:val="0"/>
          <w:marTop w:val="0"/>
          <w:marBottom w:val="0"/>
          <w:divBdr>
            <w:top w:val="none" w:sz="0" w:space="0" w:color="auto"/>
            <w:left w:val="none" w:sz="0" w:space="0" w:color="auto"/>
            <w:bottom w:val="none" w:sz="0" w:space="0" w:color="auto"/>
            <w:right w:val="none" w:sz="0" w:space="0" w:color="auto"/>
          </w:divBdr>
        </w:div>
        <w:div w:id="1864050306">
          <w:marLeft w:val="0"/>
          <w:marRight w:val="0"/>
          <w:marTop w:val="0"/>
          <w:marBottom w:val="0"/>
          <w:divBdr>
            <w:top w:val="none" w:sz="0" w:space="0" w:color="auto"/>
            <w:left w:val="none" w:sz="0" w:space="0" w:color="auto"/>
            <w:bottom w:val="none" w:sz="0" w:space="0" w:color="auto"/>
            <w:right w:val="none" w:sz="0" w:space="0" w:color="auto"/>
          </w:divBdr>
        </w:div>
        <w:div w:id="1318846514">
          <w:marLeft w:val="0"/>
          <w:marRight w:val="0"/>
          <w:marTop w:val="0"/>
          <w:marBottom w:val="0"/>
          <w:divBdr>
            <w:top w:val="none" w:sz="0" w:space="0" w:color="auto"/>
            <w:left w:val="none" w:sz="0" w:space="0" w:color="auto"/>
            <w:bottom w:val="none" w:sz="0" w:space="0" w:color="auto"/>
            <w:right w:val="none" w:sz="0" w:space="0" w:color="auto"/>
          </w:divBdr>
        </w:div>
        <w:div w:id="338119754">
          <w:marLeft w:val="0"/>
          <w:marRight w:val="0"/>
          <w:marTop w:val="0"/>
          <w:marBottom w:val="0"/>
          <w:divBdr>
            <w:top w:val="none" w:sz="0" w:space="0" w:color="auto"/>
            <w:left w:val="none" w:sz="0" w:space="0" w:color="auto"/>
            <w:bottom w:val="none" w:sz="0" w:space="0" w:color="auto"/>
            <w:right w:val="none" w:sz="0" w:space="0" w:color="auto"/>
          </w:divBdr>
        </w:div>
        <w:div w:id="1664506937">
          <w:marLeft w:val="0"/>
          <w:marRight w:val="0"/>
          <w:marTop w:val="0"/>
          <w:marBottom w:val="0"/>
          <w:divBdr>
            <w:top w:val="none" w:sz="0" w:space="0" w:color="auto"/>
            <w:left w:val="none" w:sz="0" w:space="0" w:color="auto"/>
            <w:bottom w:val="none" w:sz="0" w:space="0" w:color="auto"/>
            <w:right w:val="none" w:sz="0" w:space="0" w:color="auto"/>
          </w:divBdr>
        </w:div>
        <w:div w:id="216355288">
          <w:marLeft w:val="0"/>
          <w:marRight w:val="0"/>
          <w:marTop w:val="0"/>
          <w:marBottom w:val="0"/>
          <w:divBdr>
            <w:top w:val="none" w:sz="0" w:space="0" w:color="auto"/>
            <w:left w:val="none" w:sz="0" w:space="0" w:color="auto"/>
            <w:bottom w:val="none" w:sz="0" w:space="0" w:color="auto"/>
            <w:right w:val="none" w:sz="0" w:space="0" w:color="auto"/>
          </w:divBdr>
        </w:div>
        <w:div w:id="1668513266">
          <w:marLeft w:val="0"/>
          <w:marRight w:val="0"/>
          <w:marTop w:val="0"/>
          <w:marBottom w:val="0"/>
          <w:divBdr>
            <w:top w:val="none" w:sz="0" w:space="0" w:color="auto"/>
            <w:left w:val="none" w:sz="0" w:space="0" w:color="auto"/>
            <w:bottom w:val="none" w:sz="0" w:space="0" w:color="auto"/>
            <w:right w:val="none" w:sz="0" w:space="0" w:color="auto"/>
          </w:divBdr>
        </w:div>
        <w:div w:id="1661230779">
          <w:marLeft w:val="0"/>
          <w:marRight w:val="0"/>
          <w:marTop w:val="0"/>
          <w:marBottom w:val="0"/>
          <w:divBdr>
            <w:top w:val="none" w:sz="0" w:space="0" w:color="auto"/>
            <w:left w:val="none" w:sz="0" w:space="0" w:color="auto"/>
            <w:bottom w:val="none" w:sz="0" w:space="0" w:color="auto"/>
            <w:right w:val="none" w:sz="0" w:space="0" w:color="auto"/>
          </w:divBdr>
        </w:div>
        <w:div w:id="1297447954">
          <w:marLeft w:val="0"/>
          <w:marRight w:val="0"/>
          <w:marTop w:val="0"/>
          <w:marBottom w:val="0"/>
          <w:divBdr>
            <w:top w:val="none" w:sz="0" w:space="0" w:color="auto"/>
            <w:left w:val="none" w:sz="0" w:space="0" w:color="auto"/>
            <w:bottom w:val="none" w:sz="0" w:space="0" w:color="auto"/>
            <w:right w:val="none" w:sz="0" w:space="0" w:color="auto"/>
          </w:divBdr>
        </w:div>
        <w:div w:id="1538154210">
          <w:marLeft w:val="0"/>
          <w:marRight w:val="0"/>
          <w:marTop w:val="0"/>
          <w:marBottom w:val="0"/>
          <w:divBdr>
            <w:top w:val="none" w:sz="0" w:space="0" w:color="auto"/>
            <w:left w:val="none" w:sz="0" w:space="0" w:color="auto"/>
            <w:bottom w:val="none" w:sz="0" w:space="0" w:color="auto"/>
            <w:right w:val="none" w:sz="0" w:space="0" w:color="auto"/>
          </w:divBdr>
        </w:div>
        <w:div w:id="887957807">
          <w:marLeft w:val="0"/>
          <w:marRight w:val="0"/>
          <w:marTop w:val="0"/>
          <w:marBottom w:val="0"/>
          <w:divBdr>
            <w:top w:val="none" w:sz="0" w:space="0" w:color="auto"/>
            <w:left w:val="none" w:sz="0" w:space="0" w:color="auto"/>
            <w:bottom w:val="none" w:sz="0" w:space="0" w:color="auto"/>
            <w:right w:val="none" w:sz="0" w:space="0" w:color="auto"/>
          </w:divBdr>
        </w:div>
        <w:div w:id="76443460">
          <w:marLeft w:val="0"/>
          <w:marRight w:val="0"/>
          <w:marTop w:val="0"/>
          <w:marBottom w:val="0"/>
          <w:divBdr>
            <w:top w:val="none" w:sz="0" w:space="0" w:color="auto"/>
            <w:left w:val="none" w:sz="0" w:space="0" w:color="auto"/>
            <w:bottom w:val="none" w:sz="0" w:space="0" w:color="auto"/>
            <w:right w:val="none" w:sz="0" w:space="0" w:color="auto"/>
          </w:divBdr>
        </w:div>
        <w:div w:id="518470154">
          <w:marLeft w:val="0"/>
          <w:marRight w:val="0"/>
          <w:marTop w:val="0"/>
          <w:marBottom w:val="0"/>
          <w:divBdr>
            <w:top w:val="none" w:sz="0" w:space="0" w:color="auto"/>
            <w:left w:val="none" w:sz="0" w:space="0" w:color="auto"/>
            <w:bottom w:val="none" w:sz="0" w:space="0" w:color="auto"/>
            <w:right w:val="none" w:sz="0" w:space="0" w:color="auto"/>
          </w:divBdr>
        </w:div>
        <w:div w:id="706369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20m.contimaravillas@usm.edu"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usm.edu/humanities/professional-writing-public-discourse.php" TargetMode="External"/><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4568</Words>
  <Characters>26044</Characters>
  <Application>Microsoft Office Word</Application>
  <DocSecurity>0</DocSecurity>
  <Lines>217</Lines>
  <Paragraphs>61</Paragraphs>
  <ScaleCrop>false</ScaleCrop>
  <Company/>
  <LinksUpToDate>false</LinksUpToDate>
  <CharactersWithSpaces>30551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Casey</dc:creator>
  <cp:keywords/>
  <dc:description/>
  <cp:lastModifiedBy>Matthew Casey</cp:lastModifiedBy>
  <cp:revision>1</cp:revision>
  <dcterms:created xsi:type="dcterms:W3CDTF">2021-09-28T18:38:00Z</dcterms:created>
  <dcterms:modified xsi:type="dcterms:W3CDTF">2021-09-28T18:41:00Z</dcterms:modified>
</cp:coreProperties>
</file>