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78C1" w14:textId="15A7D501" w:rsidR="00BC419A" w:rsidRPr="00D6287F" w:rsidRDefault="4E39FD40" w:rsidP="4220DDE8">
      <w:pPr>
        <w:jc w:val="center"/>
        <w:rPr>
          <w:b/>
          <w:bCs/>
          <w:sz w:val="32"/>
          <w:szCs w:val="32"/>
        </w:rPr>
      </w:pPr>
      <w:bookmarkStart w:id="0" w:name="_Int_rVF8wAYP"/>
      <w:r w:rsidRPr="4220DDE8">
        <w:rPr>
          <w:b/>
          <w:bCs/>
          <w:sz w:val="32"/>
          <w:szCs w:val="32"/>
        </w:rPr>
        <w:t xml:space="preserve">Guidance on </w:t>
      </w:r>
      <w:r w:rsidR="7DF08282" w:rsidRPr="4220DDE8">
        <w:rPr>
          <w:b/>
          <w:bCs/>
          <w:sz w:val="32"/>
          <w:szCs w:val="32"/>
        </w:rPr>
        <w:t xml:space="preserve">Preaward </w:t>
      </w:r>
      <w:r w:rsidR="007C3443">
        <w:rPr>
          <w:b/>
          <w:bCs/>
          <w:sz w:val="32"/>
          <w:szCs w:val="32"/>
        </w:rPr>
        <w:t xml:space="preserve">Spending </w:t>
      </w:r>
      <w:r w:rsidR="7DF08282" w:rsidRPr="4220DDE8">
        <w:rPr>
          <w:b/>
          <w:bCs/>
          <w:sz w:val="32"/>
          <w:szCs w:val="32"/>
        </w:rPr>
        <w:t>Accounts</w:t>
      </w:r>
      <w:bookmarkEnd w:id="0"/>
    </w:p>
    <w:p w14:paraId="4962B084" w14:textId="5842939A" w:rsidR="00116825" w:rsidRDefault="7DF08282">
      <w:r w:rsidRPr="4220DDE8">
        <w:rPr>
          <w:b/>
          <w:bCs/>
          <w:sz w:val="28"/>
          <w:szCs w:val="28"/>
        </w:rPr>
        <w:t>Definition</w:t>
      </w:r>
      <w:r w:rsidRPr="4220DDE8">
        <w:rPr>
          <w:b/>
          <w:bCs/>
          <w:sz w:val="24"/>
          <w:szCs w:val="24"/>
        </w:rPr>
        <w:t>:</w:t>
      </w:r>
      <w:r>
        <w:t xml:space="preserve"> A </w:t>
      </w:r>
      <w:r w:rsidR="2C112CB9">
        <w:t xml:space="preserve">preaward </w:t>
      </w:r>
      <w:r>
        <w:t xml:space="preserve">sponsored project account </w:t>
      </w:r>
      <w:r w:rsidR="688E05C3">
        <w:t xml:space="preserve">is </w:t>
      </w:r>
      <w:r>
        <w:t xml:space="preserve">established </w:t>
      </w:r>
      <w:r w:rsidR="688E05C3">
        <w:t>so that project-related</w:t>
      </w:r>
      <w:r>
        <w:t xml:space="preserve"> expenses</w:t>
      </w:r>
      <w:r w:rsidR="688E05C3">
        <w:t xml:space="preserve"> can be charged</w:t>
      </w:r>
      <w:r>
        <w:t xml:space="preserve"> before the award from the sponsor is fully accepted or executed. </w:t>
      </w:r>
    </w:p>
    <w:p w14:paraId="6BBDD490" w14:textId="651D9B53" w:rsidR="00B3766B" w:rsidRDefault="00B33958">
      <w:r w:rsidRPr="4220DDE8">
        <w:rPr>
          <w:b/>
          <w:bCs/>
          <w:sz w:val="28"/>
          <w:szCs w:val="28"/>
        </w:rPr>
        <w:t>W</w:t>
      </w:r>
      <w:r w:rsidR="1C8D2A2B" w:rsidRPr="4220DDE8">
        <w:rPr>
          <w:b/>
          <w:bCs/>
          <w:sz w:val="28"/>
          <w:szCs w:val="28"/>
        </w:rPr>
        <w:t>h</w:t>
      </w:r>
      <w:r w:rsidR="5DB63DE2" w:rsidRPr="4220DDE8">
        <w:rPr>
          <w:b/>
          <w:bCs/>
          <w:sz w:val="28"/>
          <w:szCs w:val="28"/>
        </w:rPr>
        <w:t>en are preaward accounts used?</w:t>
      </w:r>
      <w:r w:rsidR="5DB63DE2" w:rsidRPr="4220DDE8">
        <w:rPr>
          <w:sz w:val="24"/>
          <w:szCs w:val="24"/>
        </w:rPr>
        <w:t xml:space="preserve"> </w:t>
      </w:r>
      <w:r w:rsidR="5DB63DE2">
        <w:t>If the P</w:t>
      </w:r>
      <w:r w:rsidR="0FF561EC">
        <w:t>rincipal Investigator/Project Director (PI/PD)</w:t>
      </w:r>
      <w:r w:rsidR="5DB63DE2">
        <w:t xml:space="preserve"> has evidence that an award is forthcoming, or if the award has been received by </w:t>
      </w:r>
      <w:bookmarkStart w:id="1" w:name="_Int_IqyeKB7k"/>
      <w:r w:rsidR="5DB63DE2">
        <w:t>USM</w:t>
      </w:r>
      <w:bookmarkEnd w:id="1"/>
      <w:r w:rsidR="5DB63DE2">
        <w:t xml:space="preserve"> and requires ongoing negotiation</w:t>
      </w:r>
      <w:r w:rsidR="460FF713">
        <w:t xml:space="preserve">, a preaward </w:t>
      </w:r>
      <w:r w:rsidR="007C3443">
        <w:t xml:space="preserve">spending </w:t>
      </w:r>
      <w:r w:rsidR="460FF713">
        <w:t>account may be established</w:t>
      </w:r>
      <w:r w:rsidR="328A29AA">
        <w:t xml:space="preserve"> so tha</w:t>
      </w:r>
      <w:r w:rsidR="31C91E6F">
        <w:t xml:space="preserve">t work on the project can begin, equipment can be ordered, or </w:t>
      </w:r>
      <w:r w:rsidR="08580881">
        <w:t xml:space="preserve">positions posted </w:t>
      </w:r>
      <w:r w:rsidR="0EFD058D">
        <w:t>in Cornerstone</w:t>
      </w:r>
      <w:r w:rsidR="460FF713">
        <w:t xml:space="preserve">. </w:t>
      </w:r>
      <w:r w:rsidR="3775BBC4">
        <w:t>Or, if the project is federally funded through a grant or cooperative agreement, expenses might be allowable up to 90 days before the award's start date.</w:t>
      </w:r>
      <w:r w:rsidR="0056E5C1">
        <w:t xml:space="preserve"> </w:t>
      </w:r>
    </w:p>
    <w:p w14:paraId="7621D859" w14:textId="1ADCFE34" w:rsidR="004B71AD" w:rsidRDefault="00C82EA2">
      <w:r>
        <w:t xml:space="preserve">Establishment of a preaward </w:t>
      </w:r>
      <w:r w:rsidR="007C3443">
        <w:t xml:space="preserve">spending </w:t>
      </w:r>
      <w:r>
        <w:t>account allows</w:t>
      </w:r>
      <w:r w:rsidR="00116825">
        <w:t xml:space="preserve"> expenditures to be charged to the project, avoiding cost transfers later. However, </w:t>
      </w:r>
      <w:r w:rsidR="00B3766B">
        <w:t xml:space="preserve">they are not without risk. </w:t>
      </w:r>
      <w:r w:rsidR="00B3766B" w:rsidRPr="002410D0">
        <w:rPr>
          <w:b/>
          <w:bCs/>
        </w:rPr>
        <w:t xml:space="preserve">If, for some reason, the award </w:t>
      </w:r>
      <w:r w:rsidR="000F620C" w:rsidRPr="002410D0">
        <w:rPr>
          <w:b/>
          <w:bCs/>
        </w:rPr>
        <w:t>is not finalized, the unit/school/college will be responsible for covering expenses incurred</w:t>
      </w:r>
      <w:r w:rsidR="000F620C">
        <w:t xml:space="preserve"> on a preaward </w:t>
      </w:r>
      <w:r w:rsidR="007C3443">
        <w:t xml:space="preserve">spending </w:t>
      </w:r>
      <w:r w:rsidR="000F620C">
        <w:t xml:space="preserve">account. </w:t>
      </w:r>
    </w:p>
    <w:p w14:paraId="06B73197" w14:textId="73D97C09" w:rsidR="00474E7F" w:rsidRDefault="342CC4D4" w:rsidP="4220DDE8">
      <w:pPr>
        <w:rPr>
          <w:b/>
          <w:bCs/>
          <w:sz w:val="28"/>
          <w:szCs w:val="28"/>
        </w:rPr>
      </w:pPr>
      <w:r w:rsidRPr="4220DDE8">
        <w:rPr>
          <w:b/>
          <w:bCs/>
          <w:sz w:val="28"/>
          <w:szCs w:val="28"/>
        </w:rPr>
        <w:t>Procedures:</w:t>
      </w:r>
      <w:r w:rsidR="7ADFF55E" w:rsidRPr="4220DDE8">
        <w:rPr>
          <w:b/>
          <w:bCs/>
          <w:sz w:val="28"/>
          <w:szCs w:val="28"/>
        </w:rPr>
        <w:t xml:space="preserve"> </w:t>
      </w:r>
    </w:p>
    <w:p w14:paraId="1744E5D7" w14:textId="77777777" w:rsidR="007C3443" w:rsidRPr="001A4E32" w:rsidRDefault="24E85C6E" w:rsidP="4220DDE8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t xml:space="preserve">The </w:t>
      </w:r>
      <w:r w:rsidR="4AB8BEF6">
        <w:t>PI/PD</w:t>
      </w:r>
      <w:r>
        <w:t xml:space="preserve"> should </w:t>
      </w:r>
      <w:r w:rsidR="1087392B">
        <w:t xml:space="preserve">email the request for establishment of a preaward </w:t>
      </w:r>
      <w:r w:rsidR="007C3443">
        <w:t xml:space="preserve">spending </w:t>
      </w:r>
      <w:r w:rsidR="1087392B">
        <w:t>account</w:t>
      </w:r>
      <w:r w:rsidR="57A46C42">
        <w:t xml:space="preserve"> to the</w:t>
      </w:r>
      <w:r w:rsidR="5272DD7F">
        <w:t>ir</w:t>
      </w:r>
      <w:r w:rsidR="57A46C42">
        <w:t xml:space="preserve"> </w:t>
      </w:r>
      <w:bookmarkStart w:id="2" w:name="_Int_qeqBEGqM"/>
      <w:r w:rsidR="1ABD9205">
        <w:t>ORA</w:t>
      </w:r>
      <w:bookmarkEnd w:id="2"/>
      <w:r w:rsidR="007C3443">
        <w:t>-PAM</w:t>
      </w:r>
      <w:r w:rsidR="1ABD9205">
        <w:t xml:space="preserve"> grant administrator</w:t>
      </w:r>
      <w:r w:rsidR="3E82D4C5">
        <w:t>/</w:t>
      </w:r>
      <w:r w:rsidR="1ABD9205">
        <w:t xml:space="preserve">coordinator. </w:t>
      </w:r>
    </w:p>
    <w:p w14:paraId="0DC4B9BD" w14:textId="42D20BF0" w:rsidR="00474E7F" w:rsidRPr="002410D0" w:rsidRDefault="1ABD9205" w:rsidP="007C344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Include</w:t>
      </w:r>
      <w:r w:rsidR="3ECA01D6">
        <w:t xml:space="preserve"> a budget string </w:t>
      </w:r>
      <w:r w:rsidR="007C3443">
        <w:t xml:space="preserve">for use in the event the award is not </w:t>
      </w:r>
      <w:proofErr w:type="gramStart"/>
      <w:r w:rsidR="007C3443">
        <w:t>finalized</w:t>
      </w:r>
      <w:proofErr w:type="gramEnd"/>
      <w:r w:rsidR="007C3443">
        <w:t xml:space="preserve"> and </w:t>
      </w:r>
      <w:r w:rsidR="3ECA01D6">
        <w:t>expenses need to be moved</w:t>
      </w:r>
      <w:r w:rsidR="39F4975E">
        <w:t xml:space="preserve"> from the preaward </w:t>
      </w:r>
      <w:r w:rsidR="007C3443">
        <w:t xml:space="preserve">spending </w:t>
      </w:r>
      <w:r w:rsidR="39F4975E">
        <w:t>account.</w:t>
      </w:r>
    </w:p>
    <w:p w14:paraId="233D0944" w14:textId="3328DD14" w:rsidR="007C3443" w:rsidRDefault="007C3443" w:rsidP="002410D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t>Include reason/justification for making the request.</w:t>
      </w:r>
    </w:p>
    <w:p w14:paraId="351DDCF6" w14:textId="057B2860" w:rsidR="00CE43C2" w:rsidRDefault="449D71DC" w:rsidP="00CE43C2">
      <w:pPr>
        <w:pStyle w:val="ListParagraph"/>
        <w:numPr>
          <w:ilvl w:val="0"/>
          <w:numId w:val="1"/>
        </w:numPr>
      </w:pPr>
      <w:r>
        <w:t xml:space="preserve">ORA </w:t>
      </w:r>
      <w:r w:rsidR="137ED362">
        <w:t>will review</w:t>
      </w:r>
      <w:r w:rsidR="1240FD79">
        <w:t xml:space="preserve"> </w:t>
      </w:r>
      <w:r w:rsidR="32AFB8AB">
        <w:t xml:space="preserve">the </w:t>
      </w:r>
      <w:r w:rsidR="5922D736">
        <w:t>award</w:t>
      </w:r>
      <w:r w:rsidR="5DEC9BBE">
        <w:t xml:space="preserve"> </w:t>
      </w:r>
      <w:r w:rsidR="7936B5D2">
        <w:t xml:space="preserve">documentation </w:t>
      </w:r>
      <w:r w:rsidR="5DEC9BBE">
        <w:t xml:space="preserve">and ensure that all internal approvals are </w:t>
      </w:r>
      <w:r w:rsidR="1240FD79">
        <w:t>current (e.g., InfoEd routing, research risk approvals)</w:t>
      </w:r>
      <w:r w:rsidR="6AE4F0B4">
        <w:t>.</w:t>
      </w:r>
      <w:r w:rsidR="5CFA1F17">
        <w:t xml:space="preserve"> </w:t>
      </w:r>
    </w:p>
    <w:p w14:paraId="2FAAEB7E" w14:textId="5E60FFF6" w:rsidR="00594FFF" w:rsidRDefault="5FF980AD" w:rsidP="54FBDA1D">
      <w:pPr>
        <w:pStyle w:val="ListParagraph"/>
        <w:numPr>
          <w:ilvl w:val="0"/>
          <w:numId w:val="1"/>
        </w:numPr>
      </w:pPr>
      <w:r>
        <w:t xml:space="preserve">The Associate Vice President for Research, the Proposal and Award Management (PAM) Director, or the </w:t>
      </w:r>
      <w:r w:rsidR="360308B2">
        <w:t xml:space="preserve">PAM </w:t>
      </w:r>
      <w:r w:rsidR="7E89C137">
        <w:t>Assistant D</w:t>
      </w:r>
      <w:r w:rsidR="360308B2">
        <w:t xml:space="preserve">irector will review </w:t>
      </w:r>
      <w:r w:rsidR="06AE27DE">
        <w:t xml:space="preserve">the request. If approved, project </w:t>
      </w:r>
      <w:r w:rsidR="4192B2EB">
        <w:t>details</w:t>
      </w:r>
      <w:r w:rsidR="06AE27DE">
        <w:t xml:space="preserve"> </w:t>
      </w:r>
      <w:r w:rsidR="522F6E31">
        <w:t xml:space="preserve">sufficient </w:t>
      </w:r>
      <w:r w:rsidR="37CD094E">
        <w:t xml:space="preserve">to establish an account </w:t>
      </w:r>
      <w:r w:rsidR="06AE27DE">
        <w:t xml:space="preserve">will be </w:t>
      </w:r>
      <w:r w:rsidR="6E5802F3">
        <w:t xml:space="preserve">transferred to </w:t>
      </w:r>
      <w:r w:rsidR="3AFFFF16">
        <w:t>ORA’s Financial Reporting and Audit team</w:t>
      </w:r>
      <w:r w:rsidR="6E5802F3">
        <w:t xml:space="preserve"> for account establishment</w:t>
      </w:r>
      <w:r w:rsidR="70CCE69F">
        <w:t>, who will</w:t>
      </w:r>
      <w:r w:rsidR="1B11ADF8">
        <w:t xml:space="preserve"> then communicate account information to the PI/PD.</w:t>
      </w:r>
    </w:p>
    <w:p w14:paraId="1692D7D5" w14:textId="7F4DD0D0" w:rsidR="78AFFE8A" w:rsidRDefault="5CA39EBF" w:rsidP="54FBDA1D">
      <w:pPr>
        <w:pStyle w:val="ListParagraph"/>
        <w:numPr>
          <w:ilvl w:val="0"/>
          <w:numId w:val="1"/>
        </w:numPr>
      </w:pPr>
      <w:r>
        <w:t>ORA</w:t>
      </w:r>
      <w:r w:rsidR="003F2144">
        <w:t>-PAM</w:t>
      </w:r>
      <w:r>
        <w:t xml:space="preserve"> will review all accounts in preaward </w:t>
      </w:r>
      <w:r w:rsidR="003F2144">
        <w:t xml:space="preserve">spending </w:t>
      </w:r>
      <w:r>
        <w:t xml:space="preserve">status </w:t>
      </w:r>
      <w:bookmarkStart w:id="3" w:name="_Int_aEM69MTg"/>
      <w:r>
        <w:t>approximately monthly</w:t>
      </w:r>
      <w:bookmarkEnd w:id="3"/>
      <w:r>
        <w:t xml:space="preserve"> to ensure that progress toward funding is contin</w:t>
      </w:r>
      <w:r w:rsidR="6A08AE79">
        <w:t>uing.</w:t>
      </w:r>
    </w:p>
    <w:p w14:paraId="6947199A" w14:textId="1DC91953" w:rsidR="00EE614E" w:rsidRDefault="00B33958" w:rsidP="00EE614E">
      <w:pPr>
        <w:pStyle w:val="ListParagraph"/>
        <w:numPr>
          <w:ilvl w:val="0"/>
          <w:numId w:val="1"/>
        </w:numPr>
      </w:pPr>
      <w:r>
        <w:t xml:space="preserve">Once the </w:t>
      </w:r>
      <w:r w:rsidR="5A1FDC73">
        <w:t xml:space="preserve">award is finalized, ORA will remove the account from preaward </w:t>
      </w:r>
      <w:r w:rsidR="007C1243">
        <w:t xml:space="preserve">spending </w:t>
      </w:r>
      <w:r w:rsidR="5A1FDC73">
        <w:t>status.</w:t>
      </w:r>
    </w:p>
    <w:p w14:paraId="0095FEFD" w14:textId="7AD4CE2A" w:rsidR="004217E9" w:rsidRDefault="2D6C5E28" w:rsidP="00EE614E">
      <w:pPr>
        <w:pStyle w:val="ListParagraph"/>
        <w:numPr>
          <w:ilvl w:val="0"/>
          <w:numId w:val="1"/>
        </w:numPr>
      </w:pPr>
      <w:r>
        <w:t>All sponsor</w:t>
      </w:r>
      <w:r w:rsidR="10928298">
        <w:t xml:space="preserve"> regulations apply to preaward expenses.</w:t>
      </w:r>
    </w:p>
    <w:p w14:paraId="6CFC855E" w14:textId="2ADCF866" w:rsidR="54FBDA1D" w:rsidRDefault="54FBDA1D" w:rsidP="54FBDA1D">
      <w:pPr>
        <w:rPr>
          <w:b/>
          <w:bCs/>
        </w:rPr>
      </w:pPr>
    </w:p>
    <w:p w14:paraId="63001251" w14:textId="7700FCF5" w:rsidR="00207D72" w:rsidRDefault="3A0F2916" w:rsidP="00207D72">
      <w:r w:rsidRPr="4220DDE8">
        <w:rPr>
          <w:b/>
          <w:bCs/>
          <w:sz w:val="28"/>
          <w:szCs w:val="28"/>
        </w:rPr>
        <w:t>Note:</w:t>
      </w:r>
      <w:r w:rsidRPr="4220DDE8">
        <w:rPr>
          <w:sz w:val="24"/>
          <w:szCs w:val="24"/>
        </w:rPr>
        <w:t xml:space="preserve"> </w:t>
      </w:r>
      <w:r w:rsidR="2579B019">
        <w:t xml:space="preserve">Awards that start only after </w:t>
      </w:r>
      <w:r w:rsidR="4D2CFCDB">
        <w:t>both parties sign the funding agreement</w:t>
      </w:r>
      <w:r w:rsidR="007C1243">
        <w:t xml:space="preserve"> (those with a project/award start date of last signature)</w:t>
      </w:r>
      <w:r w:rsidR="2579B019">
        <w:t xml:space="preserve"> will not receive </w:t>
      </w:r>
      <w:r w:rsidR="007C1243">
        <w:t>consideration/</w:t>
      </w:r>
      <w:r w:rsidR="2579B019">
        <w:t xml:space="preserve">approval for a preaward </w:t>
      </w:r>
      <w:r w:rsidR="007C1243">
        <w:t xml:space="preserve">spending </w:t>
      </w:r>
      <w:r w:rsidR="2579B019">
        <w:t xml:space="preserve">account. </w:t>
      </w:r>
    </w:p>
    <w:p w14:paraId="1B6588DF" w14:textId="2140A07D" w:rsidR="00DD7932" w:rsidRDefault="00DD7932"/>
    <w:p w14:paraId="4759AE35" w14:textId="774C604E" w:rsidR="00DD7932" w:rsidRDefault="00DD7932"/>
    <w:sectPr w:rsidR="00DD793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F674" w14:textId="77777777" w:rsidR="00965CE5" w:rsidRDefault="00965CE5">
      <w:pPr>
        <w:spacing w:after="0" w:line="240" w:lineRule="auto"/>
      </w:pPr>
      <w:r>
        <w:separator/>
      </w:r>
    </w:p>
  </w:endnote>
  <w:endnote w:type="continuationSeparator" w:id="0">
    <w:p w14:paraId="73686B7C" w14:textId="77777777" w:rsidR="00965CE5" w:rsidRDefault="0096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5865"/>
      <w:gridCol w:w="375"/>
      <w:gridCol w:w="3120"/>
    </w:tblGrid>
    <w:tr w:rsidR="49515537" w14:paraId="1C961BE8" w14:textId="77777777" w:rsidTr="4220DDE8">
      <w:trPr>
        <w:trHeight w:val="300"/>
      </w:trPr>
      <w:tc>
        <w:tcPr>
          <w:tcW w:w="5865" w:type="dxa"/>
        </w:tcPr>
        <w:p w14:paraId="01210FCA" w14:textId="318ADEDF" w:rsidR="49515537" w:rsidRDefault="4220DDE8" w:rsidP="4220DDE8">
          <w:pPr>
            <w:pStyle w:val="Header"/>
            <w:ind w:left="2160"/>
            <w:jc w:val="center"/>
            <w:rPr>
              <w:sz w:val="20"/>
              <w:szCs w:val="20"/>
            </w:rPr>
          </w:pPr>
          <w:r w:rsidRPr="4220DDE8">
            <w:rPr>
              <w:sz w:val="20"/>
              <w:szCs w:val="20"/>
            </w:rPr>
            <w:t>The University of Southern Mississippi Office of Research Administration</w:t>
          </w:r>
        </w:p>
        <w:p w14:paraId="6A3630F9" w14:textId="71E9C631" w:rsidR="49515537" w:rsidRDefault="4220DDE8" w:rsidP="4220DDE8">
          <w:pPr>
            <w:pStyle w:val="Header"/>
            <w:ind w:left="2160"/>
            <w:jc w:val="center"/>
            <w:rPr>
              <w:sz w:val="20"/>
              <w:szCs w:val="20"/>
            </w:rPr>
          </w:pPr>
          <w:r w:rsidRPr="4220DDE8">
            <w:rPr>
              <w:sz w:val="20"/>
              <w:szCs w:val="20"/>
            </w:rPr>
            <w:t>601.266.4119</w:t>
          </w:r>
        </w:p>
        <w:p w14:paraId="304ABB85" w14:textId="4427B425" w:rsidR="49515537" w:rsidRDefault="4220DDE8" w:rsidP="4220DDE8">
          <w:pPr>
            <w:pStyle w:val="Header"/>
            <w:ind w:left="2160"/>
            <w:jc w:val="center"/>
            <w:rPr>
              <w:sz w:val="18"/>
              <w:szCs w:val="18"/>
            </w:rPr>
          </w:pPr>
          <w:r w:rsidRPr="4220DDE8">
            <w:rPr>
              <w:sz w:val="20"/>
              <w:szCs w:val="20"/>
            </w:rPr>
            <w:t>SponsoredPrograms@usm.edu</w:t>
          </w:r>
          <w:r w:rsidR="49515537">
            <w:br/>
          </w:r>
          <w:r w:rsidR="002410D0">
            <w:rPr>
              <w:sz w:val="20"/>
              <w:szCs w:val="20"/>
            </w:rPr>
            <w:t>February</w:t>
          </w:r>
          <w:r w:rsidRPr="4220DDE8">
            <w:rPr>
              <w:sz w:val="20"/>
              <w:szCs w:val="20"/>
            </w:rPr>
            <w:t xml:space="preserve"> 2023</w:t>
          </w:r>
        </w:p>
      </w:tc>
      <w:tc>
        <w:tcPr>
          <w:tcW w:w="375" w:type="dxa"/>
        </w:tcPr>
        <w:p w14:paraId="00E22CF7" w14:textId="50BA8ED7" w:rsidR="49515537" w:rsidRDefault="49515537" w:rsidP="4220DDE8">
          <w:pPr>
            <w:pStyle w:val="Header"/>
            <w:jc w:val="center"/>
            <w:rPr>
              <w:sz w:val="20"/>
              <w:szCs w:val="20"/>
            </w:rPr>
          </w:pPr>
        </w:p>
      </w:tc>
      <w:tc>
        <w:tcPr>
          <w:tcW w:w="3120" w:type="dxa"/>
        </w:tcPr>
        <w:p w14:paraId="7C163B21" w14:textId="7B76CB82" w:rsidR="49515537" w:rsidRDefault="49515537" w:rsidP="4220DDE8">
          <w:pPr>
            <w:pStyle w:val="Header"/>
            <w:ind w:right="-115"/>
            <w:jc w:val="right"/>
            <w:rPr>
              <w:sz w:val="20"/>
              <w:szCs w:val="20"/>
            </w:rPr>
          </w:pPr>
        </w:p>
      </w:tc>
    </w:tr>
  </w:tbl>
  <w:p w14:paraId="32CA4D51" w14:textId="4D92CF97" w:rsidR="49515537" w:rsidRDefault="49515537" w:rsidP="4220DDE8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A1C0D" w14:textId="77777777" w:rsidR="00965CE5" w:rsidRDefault="00965CE5">
      <w:pPr>
        <w:spacing w:after="0" w:line="240" w:lineRule="auto"/>
      </w:pPr>
      <w:r>
        <w:separator/>
      </w:r>
    </w:p>
  </w:footnote>
  <w:footnote w:type="continuationSeparator" w:id="0">
    <w:p w14:paraId="1402634B" w14:textId="77777777" w:rsidR="00965CE5" w:rsidRDefault="0096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9515537" w14:paraId="57609E96" w14:textId="77777777" w:rsidTr="49515537">
      <w:trPr>
        <w:trHeight w:val="300"/>
      </w:trPr>
      <w:tc>
        <w:tcPr>
          <w:tcW w:w="3120" w:type="dxa"/>
        </w:tcPr>
        <w:p w14:paraId="7598D122" w14:textId="68D9355F" w:rsidR="49515537" w:rsidRDefault="49515537" w:rsidP="49515537">
          <w:pPr>
            <w:pStyle w:val="Header"/>
            <w:ind w:left="-115"/>
          </w:pPr>
        </w:p>
      </w:tc>
      <w:tc>
        <w:tcPr>
          <w:tcW w:w="3120" w:type="dxa"/>
        </w:tcPr>
        <w:p w14:paraId="0C517FB5" w14:textId="6563DF2C" w:rsidR="49515537" w:rsidRDefault="49515537" w:rsidP="49515537">
          <w:pPr>
            <w:pStyle w:val="Header"/>
            <w:jc w:val="center"/>
          </w:pPr>
        </w:p>
      </w:tc>
      <w:tc>
        <w:tcPr>
          <w:tcW w:w="3120" w:type="dxa"/>
        </w:tcPr>
        <w:p w14:paraId="7FAB7383" w14:textId="74E638D0" w:rsidR="49515537" w:rsidRDefault="49515537" w:rsidP="49515537">
          <w:pPr>
            <w:pStyle w:val="Header"/>
            <w:ind w:right="-115"/>
            <w:jc w:val="right"/>
          </w:pPr>
        </w:p>
      </w:tc>
    </w:tr>
  </w:tbl>
  <w:p w14:paraId="5DE84836" w14:textId="49A1D3B2" w:rsidR="49515537" w:rsidRDefault="49515537" w:rsidP="4951553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PCJnAnpJku60d" int2:id="Rj4XpFFX">
      <int2:state int2:value="Rejected" int2:type="LegacyProofing"/>
    </int2:textHash>
    <int2:textHash int2:hashCode="7TPR8UeXlCC3vs" int2:id="RvFslWDA">
      <int2:state int2:value="Rejected" int2:type="LegacyProofing"/>
    </int2:textHash>
    <int2:bookmark int2:bookmarkName="_Int_aEM69MTg" int2:invalidationBookmarkName="" int2:hashCode="xextS8BbjMgBrB" int2:id="R6REMw4Z">
      <int2:state int2:value="Rejected" int2:type="AugLoop_Text_Critique"/>
    </int2:bookmark>
    <int2:bookmark int2:bookmarkName="_Int_IqyeKB7k" int2:invalidationBookmarkName="" int2:hashCode="RQxAvB5H2IrtVd" int2:id="XdfiB18E">
      <int2:state int2:value="Rejected" int2:type="AugLoop_Acronyms_AcronymsCritique"/>
    </int2:bookmark>
    <int2:bookmark int2:bookmarkName="_Int_qeqBEGqM" int2:invalidationBookmarkName="" int2:hashCode="FqxRIFH9n3EKR4" int2:id="obkyM8Yz">
      <int2:state int2:value="Rejected" int2:type="AugLoop_Acronyms_AcronymsCritique"/>
    </int2:bookmark>
    <int2:bookmark int2:bookmarkName="_Int_rVF8wAYP" int2:invalidationBookmarkName="" int2:hashCode="3H1zrrPYb+jx21" int2:id="rRIYpoBB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51517"/>
    <w:multiLevelType w:val="hybridMultilevel"/>
    <w:tmpl w:val="B46C0222"/>
    <w:lvl w:ilvl="0" w:tplc="2788F2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986CA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2AEA2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A8903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B0B4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0FE147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1D4723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84D3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2B4A3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6F2967"/>
    <w:multiLevelType w:val="hybridMultilevel"/>
    <w:tmpl w:val="2ABE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130536">
    <w:abstractNumId w:val="1"/>
  </w:num>
  <w:num w:numId="2" w16cid:durableId="106171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9E"/>
    <w:rsid w:val="00011E3D"/>
    <w:rsid w:val="000662B1"/>
    <w:rsid w:val="000F620C"/>
    <w:rsid w:val="00116825"/>
    <w:rsid w:val="00172379"/>
    <w:rsid w:val="00194A9E"/>
    <w:rsid w:val="001A4E32"/>
    <w:rsid w:val="001F2910"/>
    <w:rsid w:val="00207D72"/>
    <w:rsid w:val="00213A84"/>
    <w:rsid w:val="002345F3"/>
    <w:rsid w:val="002410D0"/>
    <w:rsid w:val="00257C51"/>
    <w:rsid w:val="002F7E34"/>
    <w:rsid w:val="003544E7"/>
    <w:rsid w:val="00387071"/>
    <w:rsid w:val="003F2144"/>
    <w:rsid w:val="00403CCA"/>
    <w:rsid w:val="004217E9"/>
    <w:rsid w:val="00474E7F"/>
    <w:rsid w:val="004A27D5"/>
    <w:rsid w:val="004B71AD"/>
    <w:rsid w:val="004E259B"/>
    <w:rsid w:val="005324D5"/>
    <w:rsid w:val="0056E5C1"/>
    <w:rsid w:val="0057098D"/>
    <w:rsid w:val="00594FFF"/>
    <w:rsid w:val="005B1092"/>
    <w:rsid w:val="0063325A"/>
    <w:rsid w:val="006559C9"/>
    <w:rsid w:val="00673A74"/>
    <w:rsid w:val="00692DEC"/>
    <w:rsid w:val="0069382D"/>
    <w:rsid w:val="006A30A5"/>
    <w:rsid w:val="006C463E"/>
    <w:rsid w:val="007840BF"/>
    <w:rsid w:val="007C1243"/>
    <w:rsid w:val="007C3443"/>
    <w:rsid w:val="007D21BF"/>
    <w:rsid w:val="007E6761"/>
    <w:rsid w:val="00850BA0"/>
    <w:rsid w:val="008A1BDA"/>
    <w:rsid w:val="00922A87"/>
    <w:rsid w:val="00965CE5"/>
    <w:rsid w:val="009963CC"/>
    <w:rsid w:val="009F5CC8"/>
    <w:rsid w:val="00AE78B8"/>
    <w:rsid w:val="00B20927"/>
    <w:rsid w:val="00B33958"/>
    <w:rsid w:val="00B3766B"/>
    <w:rsid w:val="00B855E4"/>
    <w:rsid w:val="00BC419A"/>
    <w:rsid w:val="00BC7BF3"/>
    <w:rsid w:val="00C3672A"/>
    <w:rsid w:val="00C44749"/>
    <w:rsid w:val="00C54D27"/>
    <w:rsid w:val="00C82EA2"/>
    <w:rsid w:val="00C9219B"/>
    <w:rsid w:val="00CE43C2"/>
    <w:rsid w:val="00CE5E8F"/>
    <w:rsid w:val="00D526C7"/>
    <w:rsid w:val="00D574DE"/>
    <w:rsid w:val="00D6287F"/>
    <w:rsid w:val="00DD7932"/>
    <w:rsid w:val="00E50529"/>
    <w:rsid w:val="00E8133C"/>
    <w:rsid w:val="00EE614E"/>
    <w:rsid w:val="00F33AB1"/>
    <w:rsid w:val="00F50489"/>
    <w:rsid w:val="00FB5295"/>
    <w:rsid w:val="049351C8"/>
    <w:rsid w:val="053B2A86"/>
    <w:rsid w:val="06AB4DA3"/>
    <w:rsid w:val="06AE27DE"/>
    <w:rsid w:val="08580881"/>
    <w:rsid w:val="0AA27D34"/>
    <w:rsid w:val="0C37420D"/>
    <w:rsid w:val="0C7AAFFD"/>
    <w:rsid w:val="0EFD058D"/>
    <w:rsid w:val="0FAA6434"/>
    <w:rsid w:val="0FF561EC"/>
    <w:rsid w:val="1087392B"/>
    <w:rsid w:val="10928298"/>
    <w:rsid w:val="12144F19"/>
    <w:rsid w:val="1240FD79"/>
    <w:rsid w:val="137ED362"/>
    <w:rsid w:val="138C888A"/>
    <w:rsid w:val="14011412"/>
    <w:rsid w:val="14292B95"/>
    <w:rsid w:val="152BA441"/>
    <w:rsid w:val="15A52096"/>
    <w:rsid w:val="1600DA51"/>
    <w:rsid w:val="1A1741A2"/>
    <w:rsid w:val="1A90BDF7"/>
    <w:rsid w:val="1AA68C55"/>
    <w:rsid w:val="1ABD9205"/>
    <w:rsid w:val="1B11ADF8"/>
    <w:rsid w:val="1C8D2A2B"/>
    <w:rsid w:val="1E30D20D"/>
    <w:rsid w:val="1E98692F"/>
    <w:rsid w:val="1FC6E0F2"/>
    <w:rsid w:val="2326EBAF"/>
    <w:rsid w:val="24E85C6E"/>
    <w:rsid w:val="2579B019"/>
    <w:rsid w:val="258268DC"/>
    <w:rsid w:val="25B31A6C"/>
    <w:rsid w:val="26CEE2B3"/>
    <w:rsid w:val="26FD04D6"/>
    <w:rsid w:val="27DFBA71"/>
    <w:rsid w:val="286D27ED"/>
    <w:rsid w:val="2B700EAF"/>
    <w:rsid w:val="2C112CB9"/>
    <w:rsid w:val="2D6C5E28"/>
    <w:rsid w:val="2EC0CC3B"/>
    <w:rsid w:val="2FCC23F4"/>
    <w:rsid w:val="304DBFA5"/>
    <w:rsid w:val="308E13DF"/>
    <w:rsid w:val="3167F455"/>
    <w:rsid w:val="3177D834"/>
    <w:rsid w:val="3185D0EB"/>
    <w:rsid w:val="31C91E6F"/>
    <w:rsid w:val="328A29AA"/>
    <w:rsid w:val="32AFB8AB"/>
    <w:rsid w:val="342CC4D4"/>
    <w:rsid w:val="360308B2"/>
    <w:rsid w:val="3775BBC4"/>
    <w:rsid w:val="37CD094E"/>
    <w:rsid w:val="3847DE88"/>
    <w:rsid w:val="39F4975E"/>
    <w:rsid w:val="3A0F2916"/>
    <w:rsid w:val="3A259B28"/>
    <w:rsid w:val="3AFFFF16"/>
    <w:rsid w:val="3B824647"/>
    <w:rsid w:val="3DE2D3FE"/>
    <w:rsid w:val="3E82D4C5"/>
    <w:rsid w:val="3ECA01D6"/>
    <w:rsid w:val="4192B2EB"/>
    <w:rsid w:val="4220DDE8"/>
    <w:rsid w:val="42F376C3"/>
    <w:rsid w:val="449D71DC"/>
    <w:rsid w:val="460FF713"/>
    <w:rsid w:val="472C23D8"/>
    <w:rsid w:val="481EB476"/>
    <w:rsid w:val="48C89649"/>
    <w:rsid w:val="49515537"/>
    <w:rsid w:val="4A5D1197"/>
    <w:rsid w:val="4AB8BEF6"/>
    <w:rsid w:val="4C436792"/>
    <w:rsid w:val="4D2CFCDB"/>
    <w:rsid w:val="4E39FD40"/>
    <w:rsid w:val="4E877832"/>
    <w:rsid w:val="4FE6D908"/>
    <w:rsid w:val="50E42551"/>
    <w:rsid w:val="513BA146"/>
    <w:rsid w:val="51BFE33D"/>
    <w:rsid w:val="522F6E31"/>
    <w:rsid w:val="5272DD7F"/>
    <w:rsid w:val="53731593"/>
    <w:rsid w:val="53985860"/>
    <w:rsid w:val="53BD9B2D"/>
    <w:rsid w:val="54FBDA1D"/>
    <w:rsid w:val="560F6981"/>
    <w:rsid w:val="57A46C42"/>
    <w:rsid w:val="58027123"/>
    <w:rsid w:val="5922D736"/>
    <w:rsid w:val="5A1FDC73"/>
    <w:rsid w:val="5AA1F850"/>
    <w:rsid w:val="5AF931C8"/>
    <w:rsid w:val="5B21CE94"/>
    <w:rsid w:val="5CA39EBF"/>
    <w:rsid w:val="5CBE574D"/>
    <w:rsid w:val="5CFA1F17"/>
    <w:rsid w:val="5DB63DE2"/>
    <w:rsid w:val="5DEC9BBE"/>
    <w:rsid w:val="5EF9EA48"/>
    <w:rsid w:val="5FF980AD"/>
    <w:rsid w:val="6095BAA9"/>
    <w:rsid w:val="61D3A927"/>
    <w:rsid w:val="627A0584"/>
    <w:rsid w:val="67BE8C73"/>
    <w:rsid w:val="68831FD1"/>
    <w:rsid w:val="688E05C3"/>
    <w:rsid w:val="6A08AE79"/>
    <w:rsid w:val="6AE4F0B4"/>
    <w:rsid w:val="6E5802F3"/>
    <w:rsid w:val="6EC23911"/>
    <w:rsid w:val="6F957D99"/>
    <w:rsid w:val="70CCE69F"/>
    <w:rsid w:val="74516CD5"/>
    <w:rsid w:val="78AFFE8A"/>
    <w:rsid w:val="78D2B303"/>
    <w:rsid w:val="78EFAF36"/>
    <w:rsid w:val="7936B5D2"/>
    <w:rsid w:val="7ADFF55E"/>
    <w:rsid w:val="7D7926A4"/>
    <w:rsid w:val="7DF08282"/>
    <w:rsid w:val="7DF4A5CF"/>
    <w:rsid w:val="7E322953"/>
    <w:rsid w:val="7E89C137"/>
    <w:rsid w:val="7F66D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ECDB"/>
  <w15:chartTrackingRefBased/>
  <w15:docId w15:val="{6B1A5D2A-5BC6-45D2-83FC-C4501AFC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3C2"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34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34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34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44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41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Landen</dc:creator>
  <cp:keywords/>
  <dc:description/>
  <cp:lastModifiedBy>Marcia Landen</cp:lastModifiedBy>
  <cp:revision>2</cp:revision>
  <dcterms:created xsi:type="dcterms:W3CDTF">2023-01-27T22:55:00Z</dcterms:created>
  <dcterms:modified xsi:type="dcterms:W3CDTF">2023-01-27T22:55:00Z</dcterms:modified>
</cp:coreProperties>
</file>