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BCD120" w14:textId="5EB01DA6" w:rsidR="00683F2E" w:rsidRDefault="00683F2E" w:rsidP="00683F2E">
      <w:pPr>
        <w:jc w:val="center"/>
        <w:rPr>
          <w:rStyle w:val="Heading1Char"/>
        </w:rPr>
      </w:pPr>
      <w:bookmarkStart w:id="0" w:name="_GoBack"/>
      <w:bookmarkEnd w:id="0"/>
      <w:r>
        <w:rPr>
          <w:rStyle w:val="Heading1Char"/>
        </w:rPr>
        <w:t>APPENDIX A</w:t>
      </w:r>
    </w:p>
    <w:p w14:paraId="58AF788A" w14:textId="77777777" w:rsidR="00683F2E" w:rsidRDefault="00683F2E" w:rsidP="00683F2E">
      <w:pPr>
        <w:jc w:val="center"/>
        <w:rPr>
          <w:rStyle w:val="Heading1Char"/>
        </w:rPr>
      </w:pPr>
    </w:p>
    <w:p w14:paraId="19C4140E" w14:textId="77777777" w:rsidR="00BE199B" w:rsidRDefault="00AC4352" w:rsidP="00BE199B">
      <w:r w:rsidRPr="00F02EB1">
        <w:rPr>
          <w:rStyle w:val="Heading1Char"/>
        </w:rPr>
        <w:t>Information Security Incident</w:t>
      </w:r>
      <w:r w:rsidR="00BE199B" w:rsidRPr="00F02EB1">
        <w:rPr>
          <w:rStyle w:val="Heading1Char"/>
        </w:rPr>
        <w:t xml:space="preserve"> Response </w:t>
      </w:r>
      <w:r w:rsidR="00F409C4">
        <w:rPr>
          <w:rStyle w:val="Heading1Char"/>
        </w:rPr>
        <w:t>Plan</w:t>
      </w:r>
      <w:r w:rsidR="00BE199B" w:rsidRPr="00F02EB1">
        <w:rPr>
          <w:rStyle w:val="Heading1Char"/>
        </w:rPr>
        <w:t xml:space="preserve"> for the University of Southern Mississippi</w:t>
      </w:r>
      <w:r w:rsidR="00F44178">
        <w:pict w14:anchorId="19C414D5">
          <v:rect id="_x0000_i1025" style="width:0;height:1.5pt" o:hralign="center" o:hrstd="t" o:hr="t" fillcolor="#7f7f7f" stroked="f"/>
        </w:pict>
      </w:r>
    </w:p>
    <w:p w14:paraId="19C4140F" w14:textId="7B49D230" w:rsidR="00BE199B" w:rsidRPr="00911413" w:rsidRDefault="00BE199B" w:rsidP="00911413">
      <w:pPr>
        <w:jc w:val="right"/>
      </w:pPr>
      <w:r>
        <w:t xml:space="preserve">Date: </w:t>
      </w:r>
      <w:r w:rsidR="00984222">
        <w:t>04/13/16</w:t>
      </w:r>
    </w:p>
    <w:p w14:paraId="19C41410" w14:textId="77777777" w:rsidR="00BE199B" w:rsidRDefault="00BE199B" w:rsidP="00BE199B">
      <w:pPr>
        <w:jc w:val="right"/>
      </w:pPr>
      <w:r>
        <w:t>Prepared By: Bob Wilson</w:t>
      </w:r>
    </w:p>
    <w:p w14:paraId="19C41411" w14:textId="77777777" w:rsidR="00BE199B" w:rsidRDefault="001B07D1" w:rsidP="00BE199B">
      <w:pPr>
        <w:jc w:val="right"/>
      </w:pPr>
      <w:r>
        <w:t>Technology Security Officer</w:t>
      </w:r>
    </w:p>
    <w:p w14:paraId="19C41412" w14:textId="77777777" w:rsidR="00BE199B" w:rsidRDefault="00BE199B" w:rsidP="00BE199B">
      <w:pPr>
        <w:jc w:val="right"/>
      </w:pPr>
      <w:r>
        <w:t>University of Southern Mississippi</w:t>
      </w:r>
    </w:p>
    <w:p w14:paraId="19C41413" w14:textId="77777777" w:rsidR="00664377" w:rsidRDefault="00664377" w:rsidP="00BE199B"/>
    <w:p w14:paraId="19C41414" w14:textId="5D9A15F9" w:rsidR="00664377" w:rsidRDefault="00664377"/>
    <w:p w14:paraId="19C41415" w14:textId="77777777" w:rsidR="00767D75" w:rsidRPr="00767D75" w:rsidRDefault="001B07D1" w:rsidP="00B57A43">
      <w:pPr>
        <w:numPr>
          <w:ilvl w:val="0"/>
          <w:numId w:val="7"/>
        </w:numPr>
      </w:pPr>
      <w:r>
        <w:rPr>
          <w:b/>
          <w:sz w:val="24"/>
        </w:rPr>
        <w:t>Introduction</w:t>
      </w:r>
    </w:p>
    <w:p w14:paraId="19C41416" w14:textId="5D4E17E9" w:rsidR="00B57A43" w:rsidRDefault="004E3534" w:rsidP="00767D75">
      <w:pPr>
        <w:numPr>
          <w:ilvl w:val="1"/>
          <w:numId w:val="7"/>
        </w:numPr>
      </w:pPr>
      <w:r>
        <w:t xml:space="preserve">The exposure of </w:t>
      </w:r>
      <w:r w:rsidR="005A69BA">
        <w:t>university</w:t>
      </w:r>
      <w:r>
        <w:t xml:space="preserve"> computing and network resources</w:t>
      </w:r>
      <w:r w:rsidR="003233AC">
        <w:t xml:space="preserve"> </w:t>
      </w:r>
      <w:r>
        <w:t>to various threats is inevitable.</w:t>
      </w:r>
      <w:r w:rsidR="001E6B0B">
        <w:t xml:space="preserve"> </w:t>
      </w:r>
      <w:r w:rsidR="00BB48F4" w:rsidRPr="00BB48F4">
        <w:t xml:space="preserve">A consistent and structured response procedure is necessary to effectively manage </w:t>
      </w:r>
      <w:r w:rsidR="00BB48F4">
        <w:t xml:space="preserve">information </w:t>
      </w:r>
      <w:r w:rsidR="00BB48F4" w:rsidRPr="00BB48F4">
        <w:t>security incidents</w:t>
      </w:r>
      <w:r w:rsidR="00F001C4">
        <w:t>.</w:t>
      </w:r>
    </w:p>
    <w:p w14:paraId="19C41417" w14:textId="77777777" w:rsidR="001B07D1" w:rsidRDefault="001B07D1" w:rsidP="001B07D1">
      <w:pPr>
        <w:ind w:left="792"/>
      </w:pPr>
    </w:p>
    <w:p w14:paraId="19C41418" w14:textId="77777777" w:rsidR="00767D75" w:rsidRPr="00767D75" w:rsidRDefault="00BE199B" w:rsidP="004E3534">
      <w:pPr>
        <w:numPr>
          <w:ilvl w:val="0"/>
          <w:numId w:val="7"/>
        </w:numPr>
      </w:pPr>
      <w:r w:rsidRPr="001E6B0B">
        <w:rPr>
          <w:b/>
          <w:sz w:val="24"/>
        </w:rPr>
        <w:t>Purpose</w:t>
      </w:r>
    </w:p>
    <w:p w14:paraId="19C41419" w14:textId="77777777" w:rsidR="00AB6783" w:rsidRDefault="00F55C53" w:rsidP="00F001C4">
      <w:pPr>
        <w:numPr>
          <w:ilvl w:val="1"/>
          <w:numId w:val="7"/>
        </w:numPr>
      </w:pPr>
      <w:r>
        <w:t xml:space="preserve">This document details the expected actions and procedures used to respond to an Information Security Incident. </w:t>
      </w:r>
    </w:p>
    <w:p w14:paraId="19C4141A" w14:textId="77777777" w:rsidR="001B07D1" w:rsidRDefault="001B07D1" w:rsidP="00055297"/>
    <w:p w14:paraId="19C4141B" w14:textId="77777777" w:rsidR="00767D75" w:rsidRPr="00767D75" w:rsidRDefault="00BE199B" w:rsidP="004E3534">
      <w:pPr>
        <w:numPr>
          <w:ilvl w:val="0"/>
          <w:numId w:val="7"/>
        </w:numPr>
      </w:pPr>
      <w:r w:rsidRPr="001E6B0B">
        <w:rPr>
          <w:b/>
          <w:sz w:val="24"/>
        </w:rPr>
        <w:t>Scope</w:t>
      </w:r>
    </w:p>
    <w:p w14:paraId="32A30F2A" w14:textId="77777777" w:rsidR="00BF7E04" w:rsidRDefault="00055297" w:rsidP="00767D75">
      <w:pPr>
        <w:numPr>
          <w:ilvl w:val="1"/>
          <w:numId w:val="7"/>
        </w:numPr>
      </w:pPr>
      <w:r>
        <w:t xml:space="preserve">The Information Security Incident Response Plan </w:t>
      </w:r>
      <w:r w:rsidR="004E3534">
        <w:t>applies to</w:t>
      </w:r>
      <w:r w:rsidR="00BF7E04">
        <w:t>:</w:t>
      </w:r>
    </w:p>
    <w:p w14:paraId="19C4141C" w14:textId="36F9A62A" w:rsidR="004E3534" w:rsidRDefault="00BF7E04" w:rsidP="00451BEE">
      <w:pPr>
        <w:numPr>
          <w:ilvl w:val="2"/>
          <w:numId w:val="7"/>
        </w:numPr>
      </w:pPr>
      <w:r>
        <w:t>C</w:t>
      </w:r>
      <w:r w:rsidR="004E3534">
        <w:t>omputer workstations, laptops, servers</w:t>
      </w:r>
      <w:r w:rsidR="00ED40BB">
        <w:t>, network</w:t>
      </w:r>
      <w:r w:rsidR="00980C8A">
        <w:t>s, network</w:t>
      </w:r>
      <w:r w:rsidR="00ED40BB">
        <w:t xml:space="preserve"> capable device</w:t>
      </w:r>
      <w:r w:rsidR="00980C8A">
        <w:t>s,</w:t>
      </w:r>
      <w:r w:rsidR="00810FB4">
        <w:t xml:space="preserve"> data,</w:t>
      </w:r>
      <w:r>
        <w:t xml:space="preserve"> information,</w:t>
      </w:r>
      <w:r w:rsidR="00980C8A">
        <w:t xml:space="preserve"> and other</w:t>
      </w:r>
      <w:r>
        <w:t xml:space="preserve"> </w:t>
      </w:r>
      <w:r w:rsidR="00980C8A">
        <w:t>technology resources</w:t>
      </w:r>
      <w:r w:rsidR="00ED40BB">
        <w:t xml:space="preserve"> owned</w:t>
      </w:r>
      <w:r w:rsidR="00810FB4">
        <w:t>,</w:t>
      </w:r>
      <w:r w:rsidR="00ED40BB">
        <w:t xml:space="preserve"> leased</w:t>
      </w:r>
      <w:r w:rsidR="00810FB4">
        <w:t>, or managed</w:t>
      </w:r>
      <w:r w:rsidR="00ED40BB">
        <w:t xml:space="preserve"> by </w:t>
      </w:r>
      <w:r>
        <w:t>USM.</w:t>
      </w:r>
      <w:r w:rsidR="00ED40BB">
        <w:t xml:space="preserve"> </w:t>
      </w:r>
      <w:r w:rsidR="00EB5755">
        <w:br/>
      </w:r>
    </w:p>
    <w:p w14:paraId="19C4141D" w14:textId="77777777" w:rsidR="00D6723E" w:rsidRPr="00D6723E" w:rsidRDefault="00EB5755" w:rsidP="00D6723E">
      <w:pPr>
        <w:numPr>
          <w:ilvl w:val="0"/>
          <w:numId w:val="7"/>
        </w:numPr>
        <w:rPr>
          <w:b/>
          <w:sz w:val="24"/>
        </w:rPr>
      </w:pPr>
      <w:r w:rsidRPr="009F6CC2">
        <w:rPr>
          <w:b/>
          <w:sz w:val="24"/>
        </w:rPr>
        <w:t>Incident Response Overview</w:t>
      </w:r>
    </w:p>
    <w:p w14:paraId="19C4141E" w14:textId="77777777" w:rsidR="00BE6BD2" w:rsidRDefault="00EB5755" w:rsidP="00BE6BD2">
      <w:pPr>
        <w:numPr>
          <w:ilvl w:val="1"/>
          <w:numId w:val="7"/>
        </w:numPr>
      </w:pPr>
      <w:r>
        <w:t xml:space="preserve">The Incident Response Process will flow </w:t>
      </w:r>
      <w:r w:rsidR="00BE6BD2">
        <w:t>through</w:t>
      </w:r>
      <w:r w:rsidR="00A42B6A">
        <w:t xml:space="preserve"> 6 primary phases, each phase with </w:t>
      </w:r>
      <w:r w:rsidR="00985BE2">
        <w:t xml:space="preserve">response activities, </w:t>
      </w:r>
      <w:r w:rsidR="00BE6BD2">
        <w:t xml:space="preserve">documentation </w:t>
      </w:r>
      <w:r w:rsidR="00985BE2">
        <w:t>activities, and communication activities</w:t>
      </w:r>
      <w:r w:rsidR="00BE6BD2">
        <w:t xml:space="preserve">. </w:t>
      </w:r>
      <w:r w:rsidR="00D6723E">
        <w:t>These phases are:</w:t>
      </w:r>
    </w:p>
    <w:p w14:paraId="19C4141F" w14:textId="77777777" w:rsidR="00D6723E" w:rsidRDefault="00D6723E" w:rsidP="008A4B2D">
      <w:pPr>
        <w:numPr>
          <w:ilvl w:val="2"/>
          <w:numId w:val="11"/>
        </w:numPr>
      </w:pPr>
      <w:r>
        <w:t>Preparation</w:t>
      </w:r>
    </w:p>
    <w:p w14:paraId="19C41420" w14:textId="77777777" w:rsidR="00D6723E" w:rsidRDefault="00D6723E" w:rsidP="008A4B2D">
      <w:pPr>
        <w:numPr>
          <w:ilvl w:val="2"/>
          <w:numId w:val="11"/>
        </w:numPr>
      </w:pPr>
      <w:r>
        <w:t>Identification</w:t>
      </w:r>
    </w:p>
    <w:p w14:paraId="19C41421" w14:textId="77777777" w:rsidR="00D6723E" w:rsidRDefault="00D6723E" w:rsidP="008A4B2D">
      <w:pPr>
        <w:numPr>
          <w:ilvl w:val="2"/>
          <w:numId w:val="11"/>
        </w:numPr>
      </w:pPr>
      <w:r>
        <w:t>Containment</w:t>
      </w:r>
    </w:p>
    <w:p w14:paraId="19C41422" w14:textId="77777777" w:rsidR="00D6723E" w:rsidRDefault="00D6723E" w:rsidP="008A4B2D">
      <w:pPr>
        <w:numPr>
          <w:ilvl w:val="2"/>
          <w:numId w:val="11"/>
        </w:numPr>
      </w:pPr>
      <w:r>
        <w:t>Eradication</w:t>
      </w:r>
    </w:p>
    <w:p w14:paraId="19C41423" w14:textId="77777777" w:rsidR="00D6723E" w:rsidRDefault="00D6723E" w:rsidP="008A4B2D">
      <w:pPr>
        <w:numPr>
          <w:ilvl w:val="2"/>
          <w:numId w:val="11"/>
        </w:numPr>
      </w:pPr>
      <w:r>
        <w:t>Recovery</w:t>
      </w:r>
    </w:p>
    <w:p w14:paraId="19C41424" w14:textId="77777777" w:rsidR="00D6723E" w:rsidRDefault="00D6723E" w:rsidP="008A4B2D">
      <w:pPr>
        <w:numPr>
          <w:ilvl w:val="2"/>
          <w:numId w:val="11"/>
        </w:numPr>
      </w:pPr>
      <w:r>
        <w:t>Lessons Learned</w:t>
      </w:r>
      <w:r>
        <w:br/>
      </w:r>
    </w:p>
    <w:p w14:paraId="19C41425" w14:textId="77777777" w:rsidR="00D6723E" w:rsidRPr="00990D08" w:rsidRDefault="00D6723E" w:rsidP="00D6723E">
      <w:pPr>
        <w:numPr>
          <w:ilvl w:val="0"/>
          <w:numId w:val="7"/>
        </w:numPr>
      </w:pPr>
      <w:r>
        <w:rPr>
          <w:b/>
          <w:sz w:val="24"/>
        </w:rPr>
        <w:t xml:space="preserve">Incident Handler and Incident Response Team </w:t>
      </w:r>
    </w:p>
    <w:p w14:paraId="19C41426" w14:textId="77777777" w:rsidR="004D4975" w:rsidRDefault="004D4975" w:rsidP="004D4975">
      <w:pPr>
        <w:numPr>
          <w:ilvl w:val="1"/>
          <w:numId w:val="7"/>
        </w:numPr>
      </w:pPr>
      <w:r>
        <w:t>An iTech Security Analyst will typically act as the Incident Handler. If a Security Analyst is not available, the Technology Security Officer will designate an incident handler.</w:t>
      </w:r>
      <w:r>
        <w:br/>
      </w:r>
    </w:p>
    <w:p w14:paraId="19C41427" w14:textId="77777777" w:rsidR="004D4975" w:rsidRPr="004D4975" w:rsidRDefault="004D4975" w:rsidP="000C58F2">
      <w:pPr>
        <w:numPr>
          <w:ilvl w:val="1"/>
          <w:numId w:val="7"/>
        </w:numPr>
      </w:pPr>
      <w:r>
        <w:t xml:space="preserve">Duties of the Incident Handler: </w:t>
      </w:r>
      <w:r>
        <w:br/>
        <w:t>Evaluates reported events</w:t>
      </w:r>
      <w:r>
        <w:br/>
        <w:t>Classifies Incidents</w:t>
      </w:r>
      <w:r>
        <w:br/>
      </w:r>
      <w:r>
        <w:lastRenderedPageBreak/>
        <w:t xml:space="preserve">Coordinates </w:t>
      </w:r>
      <w:r w:rsidR="006637CD">
        <w:t>response activity for incidents</w:t>
      </w:r>
      <w:r>
        <w:br/>
        <w:t>Documents incident response</w:t>
      </w:r>
      <w:r w:rsidR="000C58F2">
        <w:br/>
        <w:t>Communicates the existence and status of incidents to the Technology Security Officer.</w:t>
      </w:r>
      <w:r>
        <w:br/>
      </w:r>
    </w:p>
    <w:p w14:paraId="19C41428" w14:textId="77777777" w:rsidR="004D4975" w:rsidRPr="00D6723E" w:rsidRDefault="00990D08" w:rsidP="004D4975">
      <w:pPr>
        <w:numPr>
          <w:ilvl w:val="1"/>
          <w:numId w:val="7"/>
        </w:numPr>
      </w:pPr>
      <w:r>
        <w:rPr>
          <w:szCs w:val="20"/>
        </w:rPr>
        <w:t xml:space="preserve">Incident </w:t>
      </w:r>
      <w:r w:rsidR="00E868AB">
        <w:rPr>
          <w:szCs w:val="20"/>
        </w:rPr>
        <w:t>Handler may convene an Incident Response T</w:t>
      </w:r>
      <w:r>
        <w:rPr>
          <w:szCs w:val="20"/>
        </w:rPr>
        <w:t xml:space="preserve">eam, if necessary. </w:t>
      </w:r>
      <w:r w:rsidR="004D4975">
        <w:rPr>
          <w:szCs w:val="20"/>
        </w:rPr>
        <w:br/>
      </w:r>
    </w:p>
    <w:p w14:paraId="19C41429" w14:textId="77777777" w:rsidR="00D6723E" w:rsidRDefault="004D4975" w:rsidP="007A2DDD">
      <w:pPr>
        <w:numPr>
          <w:ilvl w:val="1"/>
          <w:numId w:val="7"/>
        </w:numPr>
      </w:pPr>
      <w:r>
        <w:t>Other Incident Response Participants and their roles:</w:t>
      </w:r>
      <w:r w:rsidR="00D6723E">
        <w:br/>
      </w:r>
    </w:p>
    <w:p w14:paraId="19C4142A" w14:textId="77777777" w:rsidR="00D6723E" w:rsidRDefault="00D6723E" w:rsidP="004D4975">
      <w:pPr>
        <w:numPr>
          <w:ilvl w:val="2"/>
          <w:numId w:val="7"/>
        </w:numPr>
      </w:pPr>
      <w:r>
        <w:t xml:space="preserve">Office of the CIO: </w:t>
      </w:r>
      <w:r>
        <w:br/>
        <w:t xml:space="preserve">Communicates </w:t>
      </w:r>
      <w:r w:rsidR="000C58F2">
        <w:t xml:space="preserve">the existence and status of </w:t>
      </w:r>
      <w:r>
        <w:t>inci</w:t>
      </w:r>
      <w:r w:rsidR="006637CD">
        <w:t>dents to University Senior Leadership</w:t>
      </w:r>
      <w:r w:rsidR="000C58F2">
        <w:t>, Data Owners,</w:t>
      </w:r>
      <w:r w:rsidR="006637CD">
        <w:t xml:space="preserve"> and Stakeholders</w:t>
      </w:r>
      <w:r>
        <w:t>.</w:t>
      </w:r>
      <w:r>
        <w:br/>
      </w:r>
    </w:p>
    <w:p w14:paraId="19C4142B" w14:textId="77777777" w:rsidR="00D6723E" w:rsidRDefault="00D6723E" w:rsidP="00153A46">
      <w:pPr>
        <w:numPr>
          <w:ilvl w:val="2"/>
          <w:numId w:val="7"/>
        </w:numPr>
      </w:pPr>
      <w:r>
        <w:t xml:space="preserve">Operations and Infrastructure Personnel: </w:t>
      </w:r>
      <w:r>
        <w:br/>
        <w:t>Performs response activities and recovery services for devices, systems, and information maintained or managed by iTech; or for 3</w:t>
      </w:r>
      <w:r w:rsidRPr="00514B22">
        <w:rPr>
          <w:vertAlign w:val="superscript"/>
        </w:rPr>
        <w:t>rd</w:t>
      </w:r>
      <w:r>
        <w:t xml:space="preserve"> party devices, systems, and applications, as specified by existing agreement.</w:t>
      </w:r>
      <w:r>
        <w:br/>
      </w:r>
    </w:p>
    <w:p w14:paraId="19C4142C" w14:textId="77777777" w:rsidR="00664377" w:rsidRDefault="00D6723E" w:rsidP="004D4975">
      <w:pPr>
        <w:numPr>
          <w:ilvl w:val="2"/>
          <w:numId w:val="7"/>
        </w:numPr>
      </w:pPr>
      <w:r>
        <w:t>Help Desk Technicians</w:t>
      </w:r>
      <w:r>
        <w:br/>
      </w:r>
      <w:r w:rsidR="00541F30">
        <w:t>Receive</w:t>
      </w:r>
      <w:r>
        <w:t xml:space="preserve"> initial event reports.</w:t>
      </w:r>
      <w:r>
        <w:br/>
        <w:t>Communication of event reports to Incident Handler</w:t>
      </w:r>
      <w:r>
        <w:br/>
      </w:r>
    </w:p>
    <w:p w14:paraId="19C4142E" w14:textId="77777777" w:rsidR="00D6723E" w:rsidRDefault="00D6723E" w:rsidP="004D4975">
      <w:pPr>
        <w:numPr>
          <w:ilvl w:val="2"/>
          <w:numId w:val="7"/>
        </w:numPr>
      </w:pPr>
      <w:r>
        <w:t>Desktop Technicians</w:t>
      </w:r>
      <w:r>
        <w:br/>
        <w:t xml:space="preserve">Performs response activities and recovery services for University owned client </w:t>
      </w:r>
      <w:r w:rsidR="006637CD">
        <w:t xml:space="preserve">endpoint </w:t>
      </w:r>
      <w:r>
        <w:t>systems</w:t>
      </w:r>
      <w:r w:rsidR="006637CD">
        <w:t>.</w:t>
      </w:r>
      <w:r>
        <w:br/>
      </w:r>
    </w:p>
    <w:p w14:paraId="19C4142F" w14:textId="77777777" w:rsidR="00C272F2" w:rsidRDefault="00D6723E" w:rsidP="004D4975">
      <w:pPr>
        <w:numPr>
          <w:ilvl w:val="2"/>
          <w:numId w:val="7"/>
        </w:numPr>
      </w:pPr>
      <w:r>
        <w:t>University Communications</w:t>
      </w:r>
      <w:r>
        <w:br/>
        <w:t>Provides communication of Inc</w:t>
      </w:r>
      <w:r w:rsidR="00C272F2">
        <w:t>ident information to the public and to the University Community</w:t>
      </w:r>
      <w:r w:rsidR="00C272F2">
        <w:br/>
      </w:r>
    </w:p>
    <w:p w14:paraId="19C41430" w14:textId="6350C1A1" w:rsidR="001B07D1" w:rsidRDefault="00D6723E" w:rsidP="004D4975">
      <w:pPr>
        <w:numPr>
          <w:ilvl w:val="2"/>
          <w:numId w:val="7"/>
        </w:numPr>
      </w:pPr>
      <w:r>
        <w:t>General Counsel</w:t>
      </w:r>
      <w:r>
        <w:br/>
        <w:t>Provides guidance on regulatory compliance and legal issues related to information or systems affected by Incidents</w:t>
      </w:r>
      <w:r w:rsidR="00465EF3">
        <w:br/>
      </w:r>
    </w:p>
    <w:p w14:paraId="63FB4BB7" w14:textId="54825541" w:rsidR="00465EF3" w:rsidRDefault="00465EF3" w:rsidP="00465EF3">
      <w:pPr>
        <w:numPr>
          <w:ilvl w:val="2"/>
          <w:numId w:val="7"/>
        </w:numPr>
      </w:pPr>
      <w:r>
        <w:t>The Director of Student Financial Services</w:t>
      </w:r>
      <w:r>
        <w:br/>
        <w:t>Provides guidance in matters related to financial services and Payment Card Industry.</w:t>
      </w:r>
    </w:p>
    <w:p w14:paraId="19C41431" w14:textId="77777777" w:rsidR="00D6723E" w:rsidRDefault="00D6723E" w:rsidP="00055297"/>
    <w:p w14:paraId="19C41432" w14:textId="77777777" w:rsidR="00BE6BD2" w:rsidRPr="00BE6BD2" w:rsidRDefault="00BE6BD2" w:rsidP="00591200">
      <w:pPr>
        <w:numPr>
          <w:ilvl w:val="0"/>
          <w:numId w:val="7"/>
        </w:numPr>
      </w:pPr>
      <w:r>
        <w:rPr>
          <w:b/>
          <w:sz w:val="24"/>
        </w:rPr>
        <w:t>Preparation</w:t>
      </w:r>
      <w:r w:rsidR="006637CD">
        <w:rPr>
          <w:b/>
          <w:sz w:val="24"/>
        </w:rPr>
        <w:t xml:space="preserve"> Phase</w:t>
      </w:r>
    </w:p>
    <w:p w14:paraId="19C41433" w14:textId="77777777" w:rsidR="00BE6BD2" w:rsidRPr="00BE6BD2" w:rsidRDefault="00BE6BD2" w:rsidP="00BE6BD2">
      <w:pPr>
        <w:numPr>
          <w:ilvl w:val="1"/>
          <w:numId w:val="7"/>
        </w:numPr>
      </w:pPr>
      <w:r>
        <w:rPr>
          <w:szCs w:val="20"/>
        </w:rPr>
        <w:t>The preparation phase of the Incide</w:t>
      </w:r>
      <w:r w:rsidR="004D4975">
        <w:rPr>
          <w:szCs w:val="20"/>
        </w:rPr>
        <w:t>nt Response will comprise of the following</w:t>
      </w:r>
      <w:r>
        <w:rPr>
          <w:szCs w:val="20"/>
        </w:rPr>
        <w:t xml:space="preserve"> activities</w:t>
      </w:r>
      <w:r w:rsidR="004D4975">
        <w:rPr>
          <w:szCs w:val="20"/>
        </w:rPr>
        <w:t>:</w:t>
      </w:r>
      <w:r w:rsidR="00541F30">
        <w:rPr>
          <w:szCs w:val="20"/>
        </w:rPr>
        <w:br/>
      </w:r>
    </w:p>
    <w:p w14:paraId="19C41434" w14:textId="77777777" w:rsidR="00843E1F" w:rsidRDefault="00985BE2" w:rsidP="00985BE2">
      <w:pPr>
        <w:numPr>
          <w:ilvl w:val="2"/>
          <w:numId w:val="7"/>
        </w:numPr>
      </w:pPr>
      <w:r>
        <w:t xml:space="preserve">The TSO will review the Incident Response Policy and Incident Response Plan at least annually, and modify as necessary. </w:t>
      </w:r>
      <w:r w:rsidR="00843E1F">
        <w:br/>
      </w:r>
    </w:p>
    <w:p w14:paraId="19C41435" w14:textId="77777777" w:rsidR="00BE6BD2" w:rsidRPr="00BE6BD2" w:rsidRDefault="00843E1F" w:rsidP="00985BE2">
      <w:pPr>
        <w:numPr>
          <w:ilvl w:val="2"/>
          <w:numId w:val="7"/>
        </w:numPr>
      </w:pPr>
      <w:r>
        <w:t>The TSO will ensure the Incident Response Policy is published and available to the campus community.</w:t>
      </w:r>
      <w:r w:rsidR="004D4975">
        <w:br/>
      </w:r>
    </w:p>
    <w:p w14:paraId="19C41436" w14:textId="77777777" w:rsidR="00371220" w:rsidRDefault="006637CD" w:rsidP="00843E1F">
      <w:pPr>
        <w:numPr>
          <w:ilvl w:val="2"/>
          <w:numId w:val="7"/>
        </w:numPr>
      </w:pPr>
      <w:r>
        <w:t xml:space="preserve">The TSO will </w:t>
      </w:r>
      <w:r w:rsidR="00843E1F">
        <w:t>ensure</w:t>
      </w:r>
      <w:r w:rsidR="000765DD">
        <w:t xml:space="preserve"> Incident Handlers are </w:t>
      </w:r>
      <w:r w:rsidR="00985BE2">
        <w:t xml:space="preserve">trained on how to properly </w:t>
      </w:r>
      <w:r w:rsidR="00371220">
        <w:t>execute this plan.</w:t>
      </w:r>
      <w:r w:rsidR="004D4975">
        <w:br/>
      </w:r>
    </w:p>
    <w:p w14:paraId="19C41437" w14:textId="77777777" w:rsidR="007C74DE" w:rsidRDefault="004D4975" w:rsidP="004D4975">
      <w:pPr>
        <w:numPr>
          <w:ilvl w:val="2"/>
          <w:numId w:val="7"/>
        </w:numPr>
      </w:pPr>
      <w:r>
        <w:rPr>
          <w:szCs w:val="20"/>
        </w:rPr>
        <w:lastRenderedPageBreak/>
        <w:t xml:space="preserve">The TSO </w:t>
      </w:r>
      <w:r w:rsidR="00843E1F">
        <w:rPr>
          <w:szCs w:val="20"/>
        </w:rPr>
        <w:t xml:space="preserve">will recommend and acquire, if possible, tools relevant to incident response efforts. </w:t>
      </w:r>
      <w:r w:rsidR="00985BE2">
        <w:rPr>
          <w:szCs w:val="20"/>
        </w:rPr>
        <w:br/>
      </w:r>
    </w:p>
    <w:p w14:paraId="19C41438" w14:textId="77777777" w:rsidR="00EF1DB4" w:rsidRPr="00D86ECB" w:rsidRDefault="009F6CC2" w:rsidP="00EF1DB4">
      <w:pPr>
        <w:numPr>
          <w:ilvl w:val="0"/>
          <w:numId w:val="7"/>
        </w:numPr>
      </w:pPr>
      <w:r w:rsidRPr="009F6CC2">
        <w:rPr>
          <w:b/>
          <w:sz w:val="24"/>
        </w:rPr>
        <w:t>Ident</w:t>
      </w:r>
      <w:r>
        <w:rPr>
          <w:b/>
          <w:sz w:val="24"/>
        </w:rPr>
        <w:t>ification</w:t>
      </w:r>
      <w:r w:rsidR="006637CD">
        <w:rPr>
          <w:b/>
          <w:sz w:val="24"/>
        </w:rPr>
        <w:t xml:space="preserve"> Phase</w:t>
      </w:r>
    </w:p>
    <w:p w14:paraId="19C41439" w14:textId="77777777" w:rsidR="00D86ECB" w:rsidRPr="00EF1DB4" w:rsidRDefault="00D86ECB" w:rsidP="00D86ECB">
      <w:pPr>
        <w:numPr>
          <w:ilvl w:val="1"/>
          <w:numId w:val="7"/>
        </w:numPr>
      </w:pPr>
      <w:r>
        <w:rPr>
          <w:szCs w:val="20"/>
        </w:rPr>
        <w:t>Don</w:t>
      </w:r>
      <w:r w:rsidR="00541F30">
        <w:rPr>
          <w:szCs w:val="20"/>
        </w:rPr>
        <w:t>’t Panic</w:t>
      </w:r>
      <w:r w:rsidR="00541F30">
        <w:rPr>
          <w:szCs w:val="20"/>
        </w:rPr>
        <w:br/>
      </w:r>
    </w:p>
    <w:p w14:paraId="19C4143A" w14:textId="77777777" w:rsidR="00030F73" w:rsidRDefault="00030F73" w:rsidP="00030F73">
      <w:pPr>
        <w:numPr>
          <w:ilvl w:val="1"/>
          <w:numId w:val="7"/>
        </w:numPr>
      </w:pPr>
      <w:r>
        <w:t xml:space="preserve">There are </w:t>
      </w:r>
      <w:r w:rsidR="00BB524A">
        <w:t>three specific types</w:t>
      </w:r>
      <w:r w:rsidR="00E868AB">
        <w:t xml:space="preserve"> of events</w:t>
      </w:r>
      <w:r>
        <w:t xml:space="preserve"> that do not require evaluation by </w:t>
      </w:r>
      <w:r w:rsidR="00941F15">
        <w:t xml:space="preserve">an Incident Handler or </w:t>
      </w:r>
      <w:r w:rsidR="00843E1F">
        <w:t>the creation of an Incident Report:</w:t>
      </w:r>
      <w:r w:rsidR="008A4B2D">
        <w:br/>
      </w:r>
    </w:p>
    <w:p w14:paraId="19C4143B" w14:textId="77777777" w:rsidR="00030F73" w:rsidRDefault="00030F73" w:rsidP="00BB524A">
      <w:pPr>
        <w:numPr>
          <w:ilvl w:val="2"/>
          <w:numId w:val="13"/>
        </w:numPr>
      </w:pPr>
      <w:r>
        <w:t>Malware or virus infecti</w:t>
      </w:r>
      <w:r w:rsidR="006637CD">
        <w:t>ons of end</w:t>
      </w:r>
      <w:r>
        <w:t>point client systems that do not have the potential to expose regulated or private data.</w:t>
      </w:r>
    </w:p>
    <w:p w14:paraId="19C4143C" w14:textId="77777777" w:rsidR="00BB524A" w:rsidRDefault="00030F73" w:rsidP="00BB524A">
      <w:pPr>
        <w:numPr>
          <w:ilvl w:val="2"/>
          <w:numId w:val="13"/>
        </w:numPr>
      </w:pPr>
      <w:r>
        <w:t>Incidents inv</w:t>
      </w:r>
      <w:r w:rsidR="00664377">
        <w:t>olving the complaints of alleged violations of the Digital Millennia Copyright Act (</w:t>
      </w:r>
      <w:r>
        <w:t>DMCA</w:t>
      </w:r>
      <w:r w:rsidR="00664377">
        <w:t>)</w:t>
      </w:r>
      <w:r>
        <w:t>.</w:t>
      </w:r>
    </w:p>
    <w:p w14:paraId="19C4143D" w14:textId="77777777" w:rsidR="00941F15" w:rsidRDefault="00BB524A" w:rsidP="00941F15">
      <w:pPr>
        <w:numPr>
          <w:ilvl w:val="2"/>
          <w:numId w:val="13"/>
        </w:numPr>
      </w:pPr>
      <w:r>
        <w:t>Incidents inv</w:t>
      </w:r>
      <w:r w:rsidR="00941F15">
        <w:t xml:space="preserve">olving Rogue </w:t>
      </w:r>
      <w:proofErr w:type="spellStart"/>
      <w:r w:rsidR="00941F15">
        <w:t>Wifi</w:t>
      </w:r>
      <w:proofErr w:type="spellEnd"/>
      <w:r w:rsidR="00941F15">
        <w:t xml:space="preserve"> Access Points that do not affect PCI Card Holder Data environments. </w:t>
      </w:r>
      <w:r w:rsidR="008A4B2D">
        <w:br/>
      </w:r>
    </w:p>
    <w:p w14:paraId="19C4143E" w14:textId="77777777" w:rsidR="00030F73" w:rsidRDefault="00E868AB" w:rsidP="00030F73">
      <w:pPr>
        <w:numPr>
          <w:ilvl w:val="1"/>
          <w:numId w:val="7"/>
        </w:numPr>
      </w:pPr>
      <w:r>
        <w:t>For any other event</w:t>
      </w:r>
      <w:r w:rsidR="00941F15">
        <w:t xml:space="preserve"> not excluded by 7.2, when</w:t>
      </w:r>
      <w:r w:rsidR="006A2B3A">
        <w:t xml:space="preserve"> an event is reported</w:t>
      </w:r>
      <w:r w:rsidR="004D4975">
        <w:t>,</w:t>
      </w:r>
      <w:r w:rsidR="00030F73">
        <w:t xml:space="preserve"> the Incident Handler will start an Incident Report using the</w:t>
      </w:r>
      <w:r w:rsidR="00941F15">
        <w:t xml:space="preserve"> Information Security</w:t>
      </w:r>
      <w:r w:rsidR="00030F73">
        <w:t xml:space="preserve"> Incident Report form. </w:t>
      </w:r>
      <w:r w:rsidR="008A4B2D">
        <w:br/>
      </w:r>
    </w:p>
    <w:p w14:paraId="19C4143F" w14:textId="78B6EB79" w:rsidR="00664377" w:rsidRDefault="00030F73" w:rsidP="00C374EE">
      <w:pPr>
        <w:numPr>
          <w:ilvl w:val="1"/>
          <w:numId w:val="7"/>
        </w:numPr>
      </w:pPr>
      <w:r>
        <w:t>T</w:t>
      </w:r>
      <w:r w:rsidR="006A2B3A">
        <w:t>he Incident Handler on duty will investigate the facts</w:t>
      </w:r>
      <w:r w:rsidR="006C49EE">
        <w:t xml:space="preserve"> </w:t>
      </w:r>
      <w:r w:rsidR="004D4975">
        <w:t>of the matter</w:t>
      </w:r>
      <w:r w:rsidR="00947ADC">
        <w:t xml:space="preserve"> </w:t>
      </w:r>
      <w:r w:rsidR="00C374EE">
        <w:t>by</w:t>
      </w:r>
      <w:r w:rsidR="00947ADC">
        <w:t xml:space="preserve"> collect</w:t>
      </w:r>
      <w:r w:rsidR="00C374EE">
        <w:t>ing evidence; examining</w:t>
      </w:r>
      <w:r w:rsidR="00947ADC">
        <w:t xml:space="preserve"> system and network behavior; and interview</w:t>
      </w:r>
      <w:r w:rsidR="00C374EE">
        <w:t>ing</w:t>
      </w:r>
      <w:r w:rsidR="00947ADC">
        <w:t xml:space="preserve"> relevant personnel.</w:t>
      </w:r>
      <w:r w:rsidR="008A4B2D">
        <w:br/>
      </w:r>
    </w:p>
    <w:p w14:paraId="19C41441" w14:textId="77777777" w:rsidR="00EF1DB4" w:rsidRDefault="00C374EE" w:rsidP="00A12A94">
      <w:pPr>
        <w:numPr>
          <w:ilvl w:val="1"/>
          <w:numId w:val="7"/>
        </w:numPr>
      </w:pPr>
      <w:r>
        <w:t>T</w:t>
      </w:r>
      <w:r w:rsidR="00EF1DB4">
        <w:t xml:space="preserve">he </w:t>
      </w:r>
      <w:r w:rsidR="00A12A94">
        <w:t>Incident Handler</w:t>
      </w:r>
      <w:r w:rsidR="00EF1DB4">
        <w:t xml:space="preserve"> will </w:t>
      </w:r>
      <w:r w:rsidR="00E868AB">
        <w:t>eva</w:t>
      </w:r>
      <w:r>
        <w:t>luate the impact of the event based</w:t>
      </w:r>
      <w:r w:rsidR="00EF1DB4">
        <w:t xml:space="preserve"> on the following factors:</w:t>
      </w:r>
      <w:r w:rsidR="008A4B2D">
        <w:br/>
      </w:r>
    </w:p>
    <w:p w14:paraId="19C41442" w14:textId="77777777" w:rsidR="00EF1DB4" w:rsidRDefault="00E868AB" w:rsidP="00843E1F">
      <w:pPr>
        <w:numPr>
          <w:ilvl w:val="2"/>
          <w:numId w:val="14"/>
        </w:numPr>
      </w:pPr>
      <w:r>
        <w:t>Impact</w:t>
      </w:r>
      <w:r w:rsidR="00843E1F">
        <w:t xml:space="preserve"> on the</w:t>
      </w:r>
      <w:r w:rsidR="00EF1DB4">
        <w:t xml:space="preserve"> confidentiality, integrity, and availability</w:t>
      </w:r>
      <w:r w:rsidR="00843E1F">
        <w:t xml:space="preserve"> of information</w:t>
      </w:r>
    </w:p>
    <w:p w14:paraId="19C41443" w14:textId="77777777" w:rsidR="00EF1DB4" w:rsidRDefault="00EF1DB4" w:rsidP="00843E1F">
      <w:pPr>
        <w:numPr>
          <w:ilvl w:val="2"/>
          <w:numId w:val="14"/>
        </w:numPr>
      </w:pPr>
      <w:r>
        <w:t>Impact to business</w:t>
      </w:r>
    </w:p>
    <w:p w14:paraId="19C41444" w14:textId="77777777" w:rsidR="00FB4D2D" w:rsidRDefault="000C58F2" w:rsidP="00843E1F">
      <w:pPr>
        <w:numPr>
          <w:ilvl w:val="2"/>
          <w:numId w:val="14"/>
        </w:numPr>
      </w:pPr>
      <w:r>
        <w:t>Ability</w:t>
      </w:r>
      <w:r w:rsidR="00EF1DB4">
        <w:t xml:space="preserve"> to recover </w:t>
      </w:r>
      <w:r w:rsidR="00C374EE">
        <w:t>systems or information</w:t>
      </w:r>
      <w:r w:rsidR="008A4B2D">
        <w:br/>
      </w:r>
    </w:p>
    <w:tbl>
      <w:tblPr>
        <w:tblW w:w="9115" w:type="dxa"/>
        <w:tblInd w:w="93" w:type="dxa"/>
        <w:tblLook w:val="04A0" w:firstRow="1" w:lastRow="0" w:firstColumn="1" w:lastColumn="0" w:noHBand="0" w:noVBand="1"/>
      </w:tblPr>
      <w:tblGrid>
        <w:gridCol w:w="2010"/>
        <w:gridCol w:w="713"/>
        <w:gridCol w:w="6392"/>
      </w:tblGrid>
      <w:tr w:rsidR="00EF1DB4" w:rsidRPr="00776BBA" w14:paraId="19C41446" w14:textId="77777777" w:rsidTr="00AC5CCD">
        <w:trPr>
          <w:trHeight w:val="300"/>
        </w:trPr>
        <w:tc>
          <w:tcPr>
            <w:tcW w:w="9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9C41445" w14:textId="77777777" w:rsidR="00EF1DB4" w:rsidRPr="00776BBA" w:rsidRDefault="00FB4D2D" w:rsidP="00AC5CC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br w:type="page"/>
            </w:r>
            <w:r w:rsidR="008A4B2D">
              <w:br w:type="page"/>
            </w:r>
            <w:r w:rsidR="00EF1DB4" w:rsidRPr="00776BBA">
              <w:rPr>
                <w:rFonts w:ascii="Calibri" w:hAnsi="Calibri"/>
                <w:color w:val="000000"/>
                <w:sz w:val="22"/>
                <w:szCs w:val="22"/>
              </w:rPr>
              <w:t>Information Impact</w:t>
            </w:r>
          </w:p>
        </w:tc>
      </w:tr>
      <w:tr w:rsidR="00EF1DB4" w:rsidRPr="00776BBA" w14:paraId="19C4144A" w14:textId="77777777" w:rsidTr="00AC5CCD">
        <w:trPr>
          <w:trHeight w:val="300"/>
        </w:trPr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19C41447" w14:textId="77777777" w:rsidR="00EF1DB4" w:rsidRPr="00776BBA" w:rsidRDefault="00EF1DB4" w:rsidP="00AC5CC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Impa</w:t>
            </w:r>
            <w:r w:rsidRPr="00776BBA">
              <w:rPr>
                <w:rFonts w:ascii="Calibri" w:hAnsi="Calibri"/>
                <w:color w:val="000000"/>
                <w:sz w:val="22"/>
                <w:szCs w:val="22"/>
              </w:rPr>
              <w:t>ct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19C41448" w14:textId="77777777" w:rsidR="00EF1DB4" w:rsidRPr="00776BBA" w:rsidRDefault="00EF1DB4" w:rsidP="00AC5CC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76BBA">
              <w:rPr>
                <w:rFonts w:ascii="Calibri" w:hAnsi="Calibri"/>
                <w:color w:val="000000"/>
                <w:sz w:val="22"/>
                <w:szCs w:val="22"/>
              </w:rPr>
              <w:t>Score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19C41449" w14:textId="77777777" w:rsidR="00EF1DB4" w:rsidRPr="00776BBA" w:rsidRDefault="00EF1DB4" w:rsidP="00AC5CC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76BBA">
              <w:rPr>
                <w:rFonts w:ascii="Calibri" w:hAnsi="Calibri"/>
                <w:color w:val="000000"/>
                <w:sz w:val="22"/>
                <w:szCs w:val="22"/>
              </w:rPr>
              <w:t>Description</w:t>
            </w:r>
          </w:p>
        </w:tc>
      </w:tr>
      <w:tr w:rsidR="00EF1DB4" w:rsidRPr="00776BBA" w14:paraId="19C4144E" w14:textId="77777777" w:rsidTr="00AC5CCD">
        <w:trPr>
          <w:trHeight w:val="300"/>
        </w:trPr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4144B" w14:textId="77777777" w:rsidR="00EF1DB4" w:rsidRPr="00776BBA" w:rsidRDefault="00EF1DB4" w:rsidP="00AC5CC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76BBA">
              <w:rPr>
                <w:rFonts w:ascii="Calibri" w:hAnsi="Calibri"/>
                <w:color w:val="000000"/>
                <w:sz w:val="22"/>
                <w:szCs w:val="22"/>
              </w:rPr>
              <w:t>None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4144C" w14:textId="77777777" w:rsidR="00EF1DB4" w:rsidRPr="00776BBA" w:rsidRDefault="00EF1DB4" w:rsidP="00AC5CC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76BBA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4144D" w14:textId="77777777" w:rsidR="00EF1DB4" w:rsidRPr="00776BBA" w:rsidRDefault="00EF1DB4" w:rsidP="00AC5CC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76BBA">
              <w:rPr>
                <w:rFonts w:ascii="Calibri" w:hAnsi="Calibri"/>
                <w:color w:val="000000"/>
                <w:sz w:val="22"/>
                <w:szCs w:val="22"/>
              </w:rPr>
              <w:t>No impact on information</w:t>
            </w:r>
          </w:p>
        </w:tc>
      </w:tr>
      <w:tr w:rsidR="00EF1DB4" w:rsidRPr="00776BBA" w14:paraId="19C41452" w14:textId="77777777" w:rsidTr="00AC5CCD">
        <w:trPr>
          <w:trHeight w:val="300"/>
        </w:trPr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C4144F" w14:textId="77777777" w:rsidR="00EF1DB4" w:rsidRPr="00776BBA" w:rsidRDefault="00EF1DB4" w:rsidP="00AC5CC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Data unavailable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C41450" w14:textId="77777777" w:rsidR="00EF1DB4" w:rsidRPr="00776BBA" w:rsidRDefault="00EF1DB4" w:rsidP="00AC5CC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C41451" w14:textId="77777777" w:rsidR="00EF1DB4" w:rsidRPr="00776BBA" w:rsidRDefault="00EF1DB4" w:rsidP="00AC5CC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Data necessary for business has been made unavailable</w:t>
            </w:r>
          </w:p>
        </w:tc>
      </w:tr>
      <w:tr w:rsidR="00EF1DB4" w:rsidRPr="00776BBA" w14:paraId="19C41456" w14:textId="77777777" w:rsidTr="00AC5CCD">
        <w:trPr>
          <w:trHeight w:val="300"/>
        </w:trPr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41453" w14:textId="77777777" w:rsidR="00EF1DB4" w:rsidRPr="00776BBA" w:rsidRDefault="00EF1DB4" w:rsidP="00AC5CC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76BBA">
              <w:rPr>
                <w:rFonts w:ascii="Calibri" w:hAnsi="Calibri"/>
                <w:color w:val="000000"/>
                <w:sz w:val="22"/>
                <w:szCs w:val="22"/>
              </w:rPr>
              <w:t>Integrity Loss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41454" w14:textId="77777777" w:rsidR="00EF1DB4" w:rsidRPr="00776BBA" w:rsidRDefault="00EF1DB4" w:rsidP="00AC5CC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41455" w14:textId="77777777" w:rsidR="00EF1DB4" w:rsidRPr="00776BBA" w:rsidRDefault="00EF1DB4" w:rsidP="00AC5CC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76BBA">
              <w:rPr>
                <w:rFonts w:ascii="Calibri" w:hAnsi="Calibri"/>
                <w:color w:val="000000"/>
                <w:sz w:val="22"/>
                <w:szCs w:val="22"/>
              </w:rPr>
              <w:t xml:space="preserve">Information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was</w:t>
            </w:r>
            <w:r w:rsidRPr="00776BBA">
              <w:rPr>
                <w:rFonts w:ascii="Calibri" w:hAnsi="Calibri"/>
                <w:color w:val="000000"/>
                <w:sz w:val="22"/>
                <w:szCs w:val="22"/>
              </w:rPr>
              <w:t xml:space="preserve"> modified</w:t>
            </w:r>
          </w:p>
        </w:tc>
      </w:tr>
      <w:tr w:rsidR="00EF1DB4" w:rsidRPr="00776BBA" w14:paraId="19C4145A" w14:textId="77777777" w:rsidTr="00AC5CCD">
        <w:trPr>
          <w:trHeight w:val="300"/>
        </w:trPr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41457" w14:textId="77777777" w:rsidR="00EF1DB4" w:rsidRPr="00776BBA" w:rsidRDefault="00EF1DB4" w:rsidP="00AC5CC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76BBA">
              <w:rPr>
                <w:rFonts w:ascii="Calibri" w:hAnsi="Calibri"/>
                <w:color w:val="000000"/>
                <w:sz w:val="22"/>
                <w:szCs w:val="22"/>
              </w:rPr>
              <w:t>Proprietary Breach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41458" w14:textId="77777777" w:rsidR="00EF1DB4" w:rsidRPr="00776BBA" w:rsidRDefault="00EF1DB4" w:rsidP="00AC5CC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41459" w14:textId="77777777" w:rsidR="00EF1DB4" w:rsidRPr="00776BBA" w:rsidRDefault="00EF1DB4" w:rsidP="00AC5CC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76BBA">
              <w:rPr>
                <w:rFonts w:ascii="Calibri" w:hAnsi="Calibri"/>
                <w:color w:val="000000"/>
                <w:sz w:val="22"/>
                <w:szCs w:val="22"/>
              </w:rPr>
              <w:t>Non Private Information accessed by unauthorized actors</w:t>
            </w:r>
          </w:p>
        </w:tc>
      </w:tr>
      <w:tr w:rsidR="00EF1DB4" w:rsidRPr="00776BBA" w14:paraId="19C4145E" w14:textId="77777777" w:rsidTr="00AC5CCD">
        <w:trPr>
          <w:trHeight w:val="300"/>
        </w:trPr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4145B" w14:textId="77777777" w:rsidR="00EF1DB4" w:rsidRPr="00776BBA" w:rsidRDefault="00EF1DB4" w:rsidP="00AC5CC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76BBA">
              <w:rPr>
                <w:rFonts w:ascii="Calibri" w:hAnsi="Calibri"/>
                <w:color w:val="000000"/>
                <w:sz w:val="22"/>
                <w:szCs w:val="22"/>
              </w:rPr>
              <w:t>Privacy Breach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4145C" w14:textId="77777777" w:rsidR="00EF1DB4" w:rsidRPr="00776BBA" w:rsidRDefault="00EF1DB4" w:rsidP="00AC5CC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4145D" w14:textId="77777777" w:rsidR="00EF1DB4" w:rsidRPr="00776BBA" w:rsidRDefault="00EF1DB4" w:rsidP="00AC5CC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76BBA">
              <w:rPr>
                <w:rFonts w:ascii="Calibri" w:hAnsi="Calibri"/>
                <w:color w:val="000000"/>
                <w:sz w:val="22"/>
                <w:szCs w:val="22"/>
              </w:rPr>
              <w:t>Private or r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egulated information accessed by</w:t>
            </w:r>
            <w:r w:rsidRPr="00776BBA">
              <w:rPr>
                <w:rFonts w:ascii="Calibri" w:hAnsi="Calibri"/>
                <w:color w:val="000000"/>
                <w:sz w:val="22"/>
                <w:szCs w:val="22"/>
              </w:rPr>
              <w:t xml:space="preserve"> unauthorized actors</w:t>
            </w:r>
          </w:p>
        </w:tc>
      </w:tr>
      <w:tr w:rsidR="00EF1DB4" w:rsidRPr="00776BBA" w14:paraId="19C41462" w14:textId="77777777" w:rsidTr="00AC5CCD">
        <w:trPr>
          <w:trHeight w:val="300"/>
        </w:trPr>
        <w:tc>
          <w:tcPr>
            <w:tcW w:w="20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4145F" w14:textId="77777777" w:rsidR="00EF1DB4" w:rsidRPr="00776BBA" w:rsidRDefault="00EF1DB4" w:rsidP="00AC5CC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76BB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41460" w14:textId="77777777" w:rsidR="00EF1DB4" w:rsidRPr="00776BBA" w:rsidRDefault="00EF1DB4" w:rsidP="00AC5CC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41461" w14:textId="77777777" w:rsidR="00EF1DB4" w:rsidRPr="00776BBA" w:rsidRDefault="00EF1DB4" w:rsidP="00AC5CC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76BB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F1DB4" w:rsidRPr="00776BBA" w14:paraId="19C41464" w14:textId="77777777" w:rsidTr="00AC5CCD">
        <w:trPr>
          <w:trHeight w:val="300"/>
        </w:trPr>
        <w:tc>
          <w:tcPr>
            <w:tcW w:w="9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9C41463" w14:textId="77777777" w:rsidR="00EF1DB4" w:rsidRPr="00776BBA" w:rsidRDefault="00EF1DB4" w:rsidP="00AC5CC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76BBA">
              <w:rPr>
                <w:rFonts w:ascii="Calibri" w:hAnsi="Calibri"/>
                <w:color w:val="000000"/>
                <w:sz w:val="22"/>
                <w:szCs w:val="22"/>
              </w:rPr>
              <w:t>Business Impact</w:t>
            </w:r>
          </w:p>
        </w:tc>
      </w:tr>
      <w:tr w:rsidR="00EF1DB4" w:rsidRPr="00776BBA" w14:paraId="19C41468" w14:textId="77777777" w:rsidTr="00AC5CCD">
        <w:trPr>
          <w:trHeight w:val="300"/>
        </w:trPr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19C41465" w14:textId="77777777" w:rsidR="00EF1DB4" w:rsidRPr="00776BBA" w:rsidRDefault="00EF1DB4" w:rsidP="00AC5CC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76BBA">
              <w:rPr>
                <w:rFonts w:ascii="Calibri" w:hAnsi="Calibri"/>
                <w:color w:val="000000"/>
                <w:sz w:val="22"/>
                <w:szCs w:val="22"/>
              </w:rPr>
              <w:t>Impact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19C41466" w14:textId="77777777" w:rsidR="00EF1DB4" w:rsidRPr="00776BBA" w:rsidRDefault="00EF1DB4" w:rsidP="00AC5CC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76BBA">
              <w:rPr>
                <w:rFonts w:ascii="Calibri" w:hAnsi="Calibri"/>
                <w:color w:val="000000"/>
                <w:sz w:val="22"/>
                <w:szCs w:val="22"/>
              </w:rPr>
              <w:t>Score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19C41467" w14:textId="77777777" w:rsidR="00EF1DB4" w:rsidRPr="00776BBA" w:rsidRDefault="00EF1DB4" w:rsidP="00AC5CC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76BBA">
              <w:rPr>
                <w:rFonts w:ascii="Calibri" w:hAnsi="Calibri"/>
                <w:color w:val="000000"/>
                <w:sz w:val="22"/>
                <w:szCs w:val="22"/>
              </w:rPr>
              <w:t>Description</w:t>
            </w:r>
          </w:p>
        </w:tc>
      </w:tr>
      <w:tr w:rsidR="00EF1DB4" w:rsidRPr="00776BBA" w14:paraId="19C4146C" w14:textId="77777777" w:rsidTr="00AC5CCD">
        <w:trPr>
          <w:trHeight w:val="300"/>
        </w:trPr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41469" w14:textId="77777777" w:rsidR="00EF1DB4" w:rsidRPr="00776BBA" w:rsidRDefault="00EF1DB4" w:rsidP="00AC5CC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76BBA">
              <w:rPr>
                <w:rFonts w:ascii="Calibri" w:hAnsi="Calibri"/>
                <w:color w:val="000000"/>
                <w:sz w:val="22"/>
                <w:szCs w:val="22"/>
              </w:rPr>
              <w:t>None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4146A" w14:textId="77777777" w:rsidR="00EF1DB4" w:rsidRPr="00776BBA" w:rsidRDefault="00EF1DB4" w:rsidP="00AC5CC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76BBA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4146B" w14:textId="77777777" w:rsidR="00EF1DB4" w:rsidRPr="00776BBA" w:rsidRDefault="00EF1DB4" w:rsidP="00C374E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76BBA">
              <w:rPr>
                <w:rFonts w:ascii="Calibri" w:hAnsi="Calibri"/>
                <w:color w:val="000000"/>
                <w:sz w:val="22"/>
                <w:szCs w:val="22"/>
              </w:rPr>
              <w:t>No impact on business</w:t>
            </w:r>
          </w:p>
        </w:tc>
      </w:tr>
      <w:tr w:rsidR="00EF1DB4" w:rsidRPr="00776BBA" w14:paraId="19C41470" w14:textId="77777777" w:rsidTr="00AC5CCD">
        <w:trPr>
          <w:trHeight w:val="300"/>
        </w:trPr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4146D" w14:textId="77777777" w:rsidR="00EF1DB4" w:rsidRPr="00776BBA" w:rsidRDefault="00EF1DB4" w:rsidP="00AC5CC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76BBA">
              <w:rPr>
                <w:rFonts w:ascii="Calibri" w:hAnsi="Calibri"/>
                <w:color w:val="000000"/>
                <w:sz w:val="22"/>
                <w:szCs w:val="22"/>
              </w:rPr>
              <w:t>Low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4146E" w14:textId="77777777" w:rsidR="00EF1DB4" w:rsidRPr="00776BBA" w:rsidRDefault="00EF1DB4" w:rsidP="00AC5CC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76BBA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4146F" w14:textId="77777777" w:rsidR="00EF1DB4" w:rsidRPr="00776BBA" w:rsidRDefault="00EF1DB4" w:rsidP="00AC5CC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76BBA">
              <w:rPr>
                <w:rFonts w:ascii="Calibri" w:hAnsi="Calibri"/>
                <w:color w:val="000000"/>
                <w:sz w:val="22"/>
                <w:szCs w:val="22"/>
              </w:rPr>
              <w:t>Non critical business process affected or inter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r</w:t>
            </w:r>
            <w:r w:rsidRPr="00776BBA">
              <w:rPr>
                <w:rFonts w:ascii="Calibri" w:hAnsi="Calibri"/>
                <w:color w:val="000000"/>
                <w:sz w:val="22"/>
                <w:szCs w:val="22"/>
              </w:rPr>
              <w:t xml:space="preserve">upted </w:t>
            </w:r>
          </w:p>
        </w:tc>
      </w:tr>
      <w:tr w:rsidR="00EF1DB4" w:rsidRPr="00776BBA" w14:paraId="19C41474" w14:textId="77777777" w:rsidTr="00AC5CCD">
        <w:trPr>
          <w:trHeight w:val="300"/>
        </w:trPr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41471" w14:textId="77777777" w:rsidR="00EF1DB4" w:rsidRPr="00776BBA" w:rsidRDefault="00EF1DB4" w:rsidP="00AC5CC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76BBA">
              <w:rPr>
                <w:rFonts w:ascii="Calibri" w:hAnsi="Calibri"/>
                <w:color w:val="000000"/>
                <w:sz w:val="22"/>
                <w:szCs w:val="22"/>
              </w:rPr>
              <w:t>Med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41472" w14:textId="77777777" w:rsidR="00EF1DB4" w:rsidRPr="00776BBA" w:rsidRDefault="00EF1DB4" w:rsidP="00AC5CC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76BBA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41473" w14:textId="77777777" w:rsidR="00EF1DB4" w:rsidRPr="00776BBA" w:rsidRDefault="00EF1DB4" w:rsidP="00AC5CC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Business efficiency signific</w:t>
            </w:r>
            <w:r w:rsidRPr="00776BBA">
              <w:rPr>
                <w:rFonts w:ascii="Calibri" w:hAnsi="Calibri"/>
                <w:color w:val="000000"/>
                <w:sz w:val="22"/>
                <w:szCs w:val="22"/>
              </w:rPr>
              <w:t>antly affected</w:t>
            </w:r>
          </w:p>
        </w:tc>
      </w:tr>
      <w:tr w:rsidR="00EF1DB4" w:rsidRPr="00776BBA" w14:paraId="19C41478" w14:textId="77777777" w:rsidTr="00AC5CCD">
        <w:trPr>
          <w:trHeight w:val="300"/>
        </w:trPr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41475" w14:textId="77777777" w:rsidR="00EF1DB4" w:rsidRPr="00776BBA" w:rsidRDefault="00EF1DB4" w:rsidP="00AC5CC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76BBA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High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41476" w14:textId="77777777" w:rsidR="00EF1DB4" w:rsidRPr="00776BBA" w:rsidRDefault="00EF1DB4" w:rsidP="00AC5CC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76BBA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41477" w14:textId="77777777" w:rsidR="00EF1DB4" w:rsidRPr="00776BBA" w:rsidRDefault="00EF1DB4" w:rsidP="00AC5CC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76BBA">
              <w:rPr>
                <w:rFonts w:ascii="Calibri" w:hAnsi="Calibri"/>
                <w:color w:val="000000"/>
                <w:sz w:val="22"/>
                <w:szCs w:val="22"/>
              </w:rPr>
              <w:t>Critical business function is interrupted</w:t>
            </w:r>
          </w:p>
        </w:tc>
      </w:tr>
      <w:tr w:rsidR="00EF1DB4" w:rsidRPr="00776BBA" w14:paraId="19C4147C" w14:textId="77777777" w:rsidTr="00AC5CCD">
        <w:trPr>
          <w:trHeight w:val="300"/>
        </w:trPr>
        <w:tc>
          <w:tcPr>
            <w:tcW w:w="20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41479" w14:textId="77777777" w:rsidR="00EF1DB4" w:rsidRPr="00776BBA" w:rsidRDefault="00EF1DB4" w:rsidP="00AC5CC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76BB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4147A" w14:textId="77777777" w:rsidR="00EF1DB4" w:rsidRPr="00776BBA" w:rsidRDefault="00EF1DB4" w:rsidP="00AC5CC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4147B" w14:textId="77777777" w:rsidR="00EF1DB4" w:rsidRPr="00776BBA" w:rsidRDefault="00EF1DB4" w:rsidP="00AC5CC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76BB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F1DB4" w:rsidRPr="00776BBA" w14:paraId="19C4147E" w14:textId="77777777" w:rsidTr="00AC5CCD">
        <w:trPr>
          <w:trHeight w:val="300"/>
        </w:trPr>
        <w:tc>
          <w:tcPr>
            <w:tcW w:w="9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9C4147D" w14:textId="77777777" w:rsidR="00EF1DB4" w:rsidRPr="00776BBA" w:rsidRDefault="00EF1DB4" w:rsidP="00AC5CC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76BBA">
              <w:rPr>
                <w:rFonts w:ascii="Calibri" w:hAnsi="Calibri"/>
                <w:color w:val="000000"/>
                <w:sz w:val="22"/>
                <w:szCs w:val="22"/>
              </w:rPr>
              <w:t>Recoverability</w:t>
            </w:r>
          </w:p>
        </w:tc>
      </w:tr>
      <w:tr w:rsidR="00EF1DB4" w:rsidRPr="00776BBA" w14:paraId="19C41482" w14:textId="77777777" w:rsidTr="00AC5CCD">
        <w:trPr>
          <w:trHeight w:val="300"/>
        </w:trPr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19C4147F" w14:textId="77777777" w:rsidR="00EF1DB4" w:rsidRPr="00776BBA" w:rsidRDefault="00EF1DB4" w:rsidP="00AC5CC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76BBA">
              <w:rPr>
                <w:rFonts w:ascii="Calibri" w:hAnsi="Calibri"/>
                <w:color w:val="000000"/>
                <w:sz w:val="22"/>
                <w:szCs w:val="22"/>
              </w:rPr>
              <w:t>Impact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19C41480" w14:textId="77777777" w:rsidR="00EF1DB4" w:rsidRPr="00776BBA" w:rsidRDefault="00EF1DB4" w:rsidP="00AC5CC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76BBA">
              <w:rPr>
                <w:rFonts w:ascii="Calibri" w:hAnsi="Calibri"/>
                <w:color w:val="000000"/>
                <w:sz w:val="22"/>
                <w:szCs w:val="22"/>
              </w:rPr>
              <w:t>Score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19C41481" w14:textId="77777777" w:rsidR="00EF1DB4" w:rsidRPr="00776BBA" w:rsidRDefault="00EF1DB4" w:rsidP="00AC5CC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76BBA">
              <w:rPr>
                <w:rFonts w:ascii="Calibri" w:hAnsi="Calibri"/>
                <w:color w:val="000000"/>
                <w:sz w:val="22"/>
                <w:szCs w:val="22"/>
              </w:rPr>
              <w:t>Description</w:t>
            </w:r>
          </w:p>
        </w:tc>
      </w:tr>
      <w:tr w:rsidR="00EF1DB4" w:rsidRPr="00776BBA" w14:paraId="19C41486" w14:textId="77777777" w:rsidTr="00AC5CCD">
        <w:trPr>
          <w:trHeight w:val="300"/>
        </w:trPr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41483" w14:textId="77777777" w:rsidR="00EF1DB4" w:rsidRPr="00776BBA" w:rsidRDefault="00EF1DB4" w:rsidP="00AC5CC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76BBA">
              <w:rPr>
                <w:rFonts w:ascii="Calibri" w:hAnsi="Calibri"/>
                <w:color w:val="000000"/>
                <w:sz w:val="22"/>
                <w:szCs w:val="22"/>
              </w:rPr>
              <w:t>None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41484" w14:textId="77777777" w:rsidR="00EF1DB4" w:rsidRPr="00776BBA" w:rsidRDefault="00EF1DB4" w:rsidP="00AC5CC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76BBA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41485" w14:textId="77777777" w:rsidR="00EF1DB4" w:rsidRPr="00776BBA" w:rsidRDefault="00EF1DB4" w:rsidP="00AC5CC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76BBA">
              <w:rPr>
                <w:rFonts w:ascii="Calibri" w:hAnsi="Calibri"/>
                <w:color w:val="000000"/>
                <w:sz w:val="22"/>
                <w:szCs w:val="22"/>
              </w:rPr>
              <w:t>No recovery needed</w:t>
            </w:r>
          </w:p>
        </w:tc>
      </w:tr>
      <w:tr w:rsidR="00EF1DB4" w:rsidRPr="00776BBA" w14:paraId="19C4148A" w14:textId="77777777" w:rsidTr="00AC5CCD">
        <w:trPr>
          <w:trHeight w:val="300"/>
        </w:trPr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41487" w14:textId="77777777" w:rsidR="00EF1DB4" w:rsidRPr="00776BBA" w:rsidRDefault="00EF1DB4" w:rsidP="00AC5CC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76BBA">
              <w:rPr>
                <w:rFonts w:ascii="Calibri" w:hAnsi="Calibri"/>
                <w:color w:val="000000"/>
                <w:sz w:val="22"/>
                <w:szCs w:val="22"/>
              </w:rPr>
              <w:t xml:space="preserve">Low 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41488" w14:textId="77777777" w:rsidR="00EF1DB4" w:rsidRPr="00776BBA" w:rsidRDefault="00EF1DB4" w:rsidP="00AC5CC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76BBA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41489" w14:textId="77777777" w:rsidR="00EF1DB4" w:rsidRPr="00776BBA" w:rsidRDefault="00EF1DB4" w:rsidP="00AC5CC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76BBA">
              <w:rPr>
                <w:rFonts w:ascii="Calibri" w:hAnsi="Calibri"/>
                <w:color w:val="000000"/>
                <w:sz w:val="22"/>
                <w:szCs w:val="22"/>
              </w:rPr>
              <w:t>Full recovery with little or no effort</w:t>
            </w:r>
          </w:p>
        </w:tc>
      </w:tr>
      <w:tr w:rsidR="00EF1DB4" w:rsidRPr="00776BBA" w14:paraId="19C4148E" w14:textId="77777777" w:rsidTr="00AC5CCD">
        <w:trPr>
          <w:trHeight w:val="300"/>
        </w:trPr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4148B" w14:textId="77777777" w:rsidR="00EF1DB4" w:rsidRPr="00776BBA" w:rsidRDefault="00EF1DB4" w:rsidP="00AC5CC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76BBA">
              <w:rPr>
                <w:rFonts w:ascii="Calibri" w:hAnsi="Calibri"/>
                <w:color w:val="000000"/>
                <w:sz w:val="22"/>
                <w:szCs w:val="22"/>
              </w:rPr>
              <w:t xml:space="preserve">Extended 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4148C" w14:textId="77777777" w:rsidR="00EF1DB4" w:rsidRPr="00776BBA" w:rsidRDefault="00EF1DB4" w:rsidP="00AC5CC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76BBA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4148D" w14:textId="77777777" w:rsidR="00EF1DB4" w:rsidRPr="00776BBA" w:rsidRDefault="00EF1DB4" w:rsidP="00AC5CC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76BBA">
              <w:rPr>
                <w:rFonts w:ascii="Calibri" w:hAnsi="Calibri"/>
                <w:color w:val="000000"/>
                <w:sz w:val="22"/>
                <w:szCs w:val="22"/>
              </w:rPr>
              <w:t>Recovery effort involves extended time or additional resources</w:t>
            </w:r>
          </w:p>
        </w:tc>
      </w:tr>
      <w:tr w:rsidR="00EF1DB4" w:rsidRPr="00776BBA" w14:paraId="19C41492" w14:textId="77777777" w:rsidTr="00AC5CCD">
        <w:trPr>
          <w:trHeight w:val="300"/>
        </w:trPr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4148F" w14:textId="77777777" w:rsidR="00EF1DB4" w:rsidRPr="00776BBA" w:rsidRDefault="00EF1DB4" w:rsidP="00AC5CC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76BBA">
              <w:rPr>
                <w:rFonts w:ascii="Calibri" w:hAnsi="Calibri"/>
                <w:color w:val="000000"/>
                <w:sz w:val="22"/>
                <w:szCs w:val="22"/>
              </w:rPr>
              <w:t>Unrecoverable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41490" w14:textId="77777777" w:rsidR="00EF1DB4" w:rsidRPr="00776BBA" w:rsidRDefault="00EF1DB4" w:rsidP="00AC5CC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76BBA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41491" w14:textId="77777777" w:rsidR="00EF1DB4" w:rsidRPr="00776BBA" w:rsidRDefault="00EF1DB4" w:rsidP="00AC5CC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76BBA">
              <w:rPr>
                <w:rFonts w:ascii="Calibri" w:hAnsi="Calibri"/>
                <w:color w:val="000000"/>
                <w:sz w:val="22"/>
                <w:szCs w:val="22"/>
              </w:rPr>
              <w:t xml:space="preserve">Data or system cannot be recovered. </w:t>
            </w:r>
          </w:p>
        </w:tc>
      </w:tr>
    </w:tbl>
    <w:p w14:paraId="19C41493" w14:textId="77777777" w:rsidR="00EF1DB4" w:rsidRDefault="00EF1DB4" w:rsidP="00EF1DB4"/>
    <w:p w14:paraId="19C41494" w14:textId="77777777" w:rsidR="00EF1DB4" w:rsidRDefault="00EF1DB4" w:rsidP="00EF1DB4"/>
    <w:p w14:paraId="19C41495" w14:textId="77777777" w:rsidR="00BC6BDA" w:rsidRDefault="00EF1DB4" w:rsidP="00EF1DB4">
      <w:pPr>
        <w:numPr>
          <w:ilvl w:val="1"/>
          <w:numId w:val="7"/>
        </w:numPr>
      </w:pPr>
      <w:r>
        <w:t>The Incident Handler will then prioritize the</w:t>
      </w:r>
      <w:r w:rsidR="00C374EE">
        <w:t xml:space="preserve"> event</w:t>
      </w:r>
      <w:r>
        <w:t xml:space="preserve">, based on the total impact scores of the event. </w:t>
      </w:r>
      <w:r w:rsidR="008A4B2D">
        <w:br/>
      </w:r>
    </w:p>
    <w:tbl>
      <w:tblPr>
        <w:tblW w:w="9082" w:type="dxa"/>
        <w:tblInd w:w="93" w:type="dxa"/>
        <w:tblLook w:val="04A0" w:firstRow="1" w:lastRow="0" w:firstColumn="1" w:lastColumn="0" w:noHBand="0" w:noVBand="1"/>
      </w:tblPr>
      <w:tblGrid>
        <w:gridCol w:w="1340"/>
        <w:gridCol w:w="1555"/>
        <w:gridCol w:w="6187"/>
      </w:tblGrid>
      <w:tr w:rsidR="00BC6BDA" w:rsidRPr="00BC6BDA" w14:paraId="19C41499" w14:textId="77777777" w:rsidTr="00DB0A33">
        <w:trPr>
          <w:trHeight w:val="300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41496" w14:textId="77777777" w:rsidR="00BC6BDA" w:rsidRPr="00BC6BDA" w:rsidRDefault="00BC6BDA" w:rsidP="00BC6B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C6BDA">
              <w:rPr>
                <w:rFonts w:ascii="Calibri" w:hAnsi="Calibri"/>
                <w:color w:val="000000"/>
                <w:sz w:val="22"/>
                <w:szCs w:val="22"/>
              </w:rPr>
              <w:t>Total Score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41497" w14:textId="77777777" w:rsidR="00BC6BDA" w:rsidRPr="00BC6BDA" w:rsidRDefault="00BC6BDA" w:rsidP="00BC6B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C6BDA">
              <w:rPr>
                <w:rFonts w:ascii="Calibri" w:hAnsi="Calibri"/>
                <w:color w:val="000000"/>
                <w:sz w:val="22"/>
                <w:szCs w:val="22"/>
              </w:rPr>
              <w:t>Prioritization</w:t>
            </w:r>
          </w:p>
        </w:tc>
        <w:tc>
          <w:tcPr>
            <w:tcW w:w="6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41498" w14:textId="77777777" w:rsidR="00BC6BDA" w:rsidRPr="00BC6BDA" w:rsidRDefault="00BC6BDA" w:rsidP="00BC6B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C6BDA">
              <w:rPr>
                <w:rFonts w:ascii="Calibri" w:hAnsi="Calibri"/>
                <w:color w:val="000000"/>
                <w:sz w:val="22"/>
                <w:szCs w:val="22"/>
              </w:rPr>
              <w:t>Detail</w:t>
            </w:r>
          </w:p>
        </w:tc>
      </w:tr>
      <w:tr w:rsidR="00C374EE" w:rsidRPr="00BC6BDA" w14:paraId="19C4149D" w14:textId="77777777" w:rsidTr="00DB0A33">
        <w:trPr>
          <w:trHeight w:val="6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19C4149A" w14:textId="77777777" w:rsidR="00C374EE" w:rsidRDefault="00C374EE" w:rsidP="00BC6BD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19C4149B" w14:textId="77777777" w:rsidR="00C374EE" w:rsidRPr="00BC6BDA" w:rsidRDefault="00C374EE" w:rsidP="00BC6BD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None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9C4149C" w14:textId="77777777" w:rsidR="00C374EE" w:rsidRPr="00BC6BDA" w:rsidRDefault="004A58D5" w:rsidP="001E04F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The event is either a</w:t>
            </w:r>
            <w:r w:rsidR="00C374EE">
              <w:rPr>
                <w:rFonts w:ascii="Calibri" w:hAnsi="Calibri"/>
                <w:color w:val="000000"/>
                <w:sz w:val="22"/>
                <w:szCs w:val="22"/>
              </w:rPr>
              <w:t xml:space="preserve"> false positive or has no impact on information, business processes, or systems.</w:t>
            </w:r>
          </w:p>
        </w:tc>
      </w:tr>
      <w:tr w:rsidR="00BC6BDA" w:rsidRPr="00BC6BDA" w14:paraId="19C414A1" w14:textId="77777777" w:rsidTr="00DB0A33">
        <w:trPr>
          <w:trHeight w:val="6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hideMark/>
          </w:tcPr>
          <w:p w14:paraId="19C4149E" w14:textId="77777777" w:rsidR="00BC6BDA" w:rsidRPr="00BC6BDA" w:rsidRDefault="00C374EE" w:rsidP="00BC6BD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 w:rsidR="00BC6BDA" w:rsidRPr="00BC6BDA">
              <w:rPr>
                <w:rFonts w:ascii="Calibri" w:hAnsi="Calibri"/>
                <w:color w:val="000000"/>
                <w:sz w:val="22"/>
                <w:szCs w:val="22"/>
              </w:rPr>
              <w:t xml:space="preserve"> - 3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hideMark/>
          </w:tcPr>
          <w:p w14:paraId="19C4149F" w14:textId="77777777" w:rsidR="00BC6BDA" w:rsidRPr="00BC6BDA" w:rsidRDefault="00BC6BDA" w:rsidP="00BC6BD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6BDA">
              <w:rPr>
                <w:rFonts w:ascii="Calibri" w:hAnsi="Calibri"/>
                <w:color w:val="000000"/>
                <w:sz w:val="22"/>
                <w:szCs w:val="22"/>
              </w:rPr>
              <w:t xml:space="preserve">Low 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14:paraId="19C414A0" w14:textId="77777777" w:rsidR="00BC6BDA" w:rsidRPr="00BC6BDA" w:rsidRDefault="00BC6BDA" w:rsidP="001E04F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C6BDA">
              <w:rPr>
                <w:rFonts w:ascii="Calibri" w:hAnsi="Calibri"/>
                <w:color w:val="000000"/>
                <w:sz w:val="22"/>
                <w:szCs w:val="22"/>
              </w:rPr>
              <w:t xml:space="preserve">Low Priority incidents do not pose a threat to regulated systems or information, and can be resolved by routine procedures </w:t>
            </w:r>
          </w:p>
        </w:tc>
      </w:tr>
      <w:tr w:rsidR="00BC6BDA" w:rsidRPr="00BC6BDA" w14:paraId="19C414A5" w14:textId="77777777" w:rsidTr="00DB0A33">
        <w:trPr>
          <w:trHeight w:val="6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14:paraId="19C414A2" w14:textId="77777777" w:rsidR="00BC6BDA" w:rsidRPr="00BC6BDA" w:rsidRDefault="00BC6BDA" w:rsidP="00BC6BD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6BDA">
              <w:rPr>
                <w:rFonts w:ascii="Calibri" w:hAnsi="Calibri"/>
                <w:color w:val="000000"/>
                <w:sz w:val="22"/>
                <w:szCs w:val="22"/>
              </w:rPr>
              <w:t>4 - 5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14:paraId="19C414A3" w14:textId="77777777" w:rsidR="00BC6BDA" w:rsidRPr="00BC6BDA" w:rsidRDefault="00BC6BDA" w:rsidP="00BC6BD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6BDA">
              <w:rPr>
                <w:rFonts w:ascii="Calibri" w:hAnsi="Calibri"/>
                <w:color w:val="000000"/>
                <w:sz w:val="22"/>
                <w:szCs w:val="22"/>
              </w:rPr>
              <w:t>Urgent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14:paraId="19C414A4" w14:textId="77777777" w:rsidR="00BC6BDA" w:rsidRPr="00BC6BDA" w:rsidRDefault="00BC6BDA" w:rsidP="001E04F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C6BDA">
              <w:rPr>
                <w:rFonts w:ascii="Calibri" w:hAnsi="Calibri"/>
                <w:color w:val="000000"/>
                <w:sz w:val="22"/>
                <w:szCs w:val="22"/>
              </w:rPr>
              <w:t>Urgent Priority in</w:t>
            </w:r>
            <w:r w:rsidR="001E04FF">
              <w:rPr>
                <w:rFonts w:ascii="Calibri" w:hAnsi="Calibri"/>
                <w:color w:val="000000"/>
                <w:sz w:val="22"/>
                <w:szCs w:val="22"/>
              </w:rPr>
              <w:t>cidents do not pose a threat to</w:t>
            </w:r>
            <w:r w:rsidRPr="00BC6BDA">
              <w:rPr>
                <w:rFonts w:ascii="Calibri" w:hAnsi="Calibri"/>
                <w:color w:val="000000"/>
                <w:sz w:val="22"/>
                <w:szCs w:val="22"/>
              </w:rPr>
              <w:t xml:space="preserve"> regulated systems or information, but cannot be resolved by routine procedures.</w:t>
            </w:r>
          </w:p>
        </w:tc>
      </w:tr>
      <w:tr w:rsidR="00BC6BDA" w:rsidRPr="00BC6BDA" w14:paraId="19C414A9" w14:textId="77777777" w:rsidTr="00DB0A33">
        <w:trPr>
          <w:trHeight w:val="6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hideMark/>
          </w:tcPr>
          <w:p w14:paraId="19C414A6" w14:textId="77777777" w:rsidR="00BC6BDA" w:rsidRPr="00BC6BDA" w:rsidRDefault="00BC6BDA" w:rsidP="00BC6BD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6BDA">
              <w:rPr>
                <w:rFonts w:ascii="Calibri" w:hAnsi="Calibri"/>
                <w:color w:val="000000"/>
                <w:sz w:val="22"/>
                <w:szCs w:val="22"/>
              </w:rPr>
              <w:t>6 - 9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hideMark/>
          </w:tcPr>
          <w:p w14:paraId="19C414A7" w14:textId="77777777" w:rsidR="00BC6BDA" w:rsidRPr="00BC6BDA" w:rsidRDefault="00BC6BDA" w:rsidP="00BC6BD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6BDA">
              <w:rPr>
                <w:rFonts w:ascii="Calibri" w:hAnsi="Calibri"/>
                <w:color w:val="000000"/>
                <w:sz w:val="22"/>
                <w:szCs w:val="22"/>
              </w:rPr>
              <w:t>Critical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14:paraId="19C414A8" w14:textId="77777777" w:rsidR="00BC6BDA" w:rsidRPr="00BC6BDA" w:rsidRDefault="00BC6BDA" w:rsidP="004A58D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C6BDA">
              <w:rPr>
                <w:rFonts w:ascii="Calibri" w:hAnsi="Calibri"/>
                <w:color w:val="000000"/>
                <w:sz w:val="22"/>
                <w:szCs w:val="22"/>
              </w:rPr>
              <w:t xml:space="preserve">Critical incidents pose a threat to </w:t>
            </w:r>
            <w:r w:rsidR="004A58D5">
              <w:rPr>
                <w:rFonts w:ascii="Calibri" w:hAnsi="Calibri"/>
                <w:color w:val="000000"/>
                <w:sz w:val="22"/>
                <w:szCs w:val="22"/>
              </w:rPr>
              <w:t xml:space="preserve">private or regulated information, </w:t>
            </w:r>
            <w:r w:rsidRPr="00BC6BDA">
              <w:rPr>
                <w:rFonts w:ascii="Calibri" w:hAnsi="Calibri"/>
                <w:color w:val="000000"/>
                <w:sz w:val="22"/>
                <w:szCs w:val="22"/>
              </w:rPr>
              <w:t xml:space="preserve">regulated </w:t>
            </w:r>
            <w:r w:rsidR="004A58D5">
              <w:rPr>
                <w:rFonts w:ascii="Calibri" w:hAnsi="Calibri"/>
                <w:color w:val="000000"/>
                <w:sz w:val="22"/>
                <w:szCs w:val="22"/>
              </w:rPr>
              <w:t xml:space="preserve">or business critical systems, or </w:t>
            </w:r>
            <w:r w:rsidRPr="00BC6BDA">
              <w:rPr>
                <w:rFonts w:ascii="Calibri" w:hAnsi="Calibri"/>
                <w:color w:val="000000"/>
                <w:sz w:val="22"/>
                <w:szCs w:val="22"/>
              </w:rPr>
              <w:t>the long term success of the University.</w:t>
            </w:r>
          </w:p>
        </w:tc>
      </w:tr>
    </w:tbl>
    <w:p w14:paraId="19C414AA" w14:textId="77777777" w:rsidR="00A12A94" w:rsidRDefault="008A4B2D" w:rsidP="00BC6BDA">
      <w:r>
        <w:br/>
      </w:r>
    </w:p>
    <w:p w14:paraId="19C414AB" w14:textId="77777777" w:rsidR="00894E14" w:rsidRDefault="006A2675" w:rsidP="00BC6BDA">
      <w:pPr>
        <w:numPr>
          <w:ilvl w:val="2"/>
          <w:numId w:val="7"/>
        </w:numPr>
      </w:pPr>
      <w:r>
        <w:t>Events that carry a total impact score of “0”</w:t>
      </w:r>
      <w:r w:rsidR="00894E14">
        <w:t xml:space="preserve"> are not</w:t>
      </w:r>
      <w:r w:rsidR="004A58D5">
        <w:t xml:space="preserve"> incidents.</w:t>
      </w:r>
      <w:r w:rsidR="004A58D5">
        <w:br/>
      </w:r>
    </w:p>
    <w:p w14:paraId="19C414AC" w14:textId="77777777" w:rsidR="00C374EE" w:rsidRDefault="006A2675" w:rsidP="00BC6BDA">
      <w:pPr>
        <w:numPr>
          <w:ilvl w:val="2"/>
          <w:numId w:val="7"/>
        </w:numPr>
      </w:pPr>
      <w:r>
        <w:t xml:space="preserve">Any event or group of related events that carry a score of </w:t>
      </w:r>
      <w:r w:rsidR="004A58D5">
        <w:t>“</w:t>
      </w:r>
      <w:r>
        <w:t>1</w:t>
      </w:r>
      <w:r w:rsidR="004A58D5">
        <w:t>”</w:t>
      </w:r>
      <w:r>
        <w:t xml:space="preserve"> or greater is considered an incident.</w:t>
      </w:r>
      <w:r w:rsidR="004A58D5">
        <w:br/>
      </w:r>
    </w:p>
    <w:p w14:paraId="19C414AD" w14:textId="77777777" w:rsidR="00BC6BDA" w:rsidRDefault="00894E14" w:rsidP="004A58D5">
      <w:pPr>
        <w:numPr>
          <w:ilvl w:val="2"/>
          <w:numId w:val="7"/>
        </w:numPr>
      </w:pPr>
      <w:r>
        <w:t>Incidents that involve</w:t>
      </w:r>
      <w:r w:rsidR="00A12A94">
        <w:t xml:space="preserve"> information classified as one or more of the following categories, is automatically</w:t>
      </w:r>
      <w:r w:rsidR="00BC6BDA">
        <w:t xml:space="preserve"> considered a Critical Incident:</w:t>
      </w:r>
    </w:p>
    <w:p w14:paraId="19C414AE" w14:textId="77777777" w:rsidR="00BC6BDA" w:rsidRDefault="00BC6BDA" w:rsidP="00BC6BDA">
      <w:pPr>
        <w:numPr>
          <w:ilvl w:val="3"/>
          <w:numId w:val="12"/>
        </w:numPr>
      </w:pPr>
      <w:r>
        <w:t>Private Health Information</w:t>
      </w:r>
    </w:p>
    <w:p w14:paraId="19C414AF" w14:textId="77777777" w:rsidR="00BC6BDA" w:rsidRDefault="0053402D" w:rsidP="00BC6BDA">
      <w:pPr>
        <w:numPr>
          <w:ilvl w:val="3"/>
          <w:numId w:val="12"/>
        </w:numPr>
      </w:pPr>
      <w:r>
        <w:t>Personally Identifiable Information</w:t>
      </w:r>
    </w:p>
    <w:p w14:paraId="19C414B0" w14:textId="77777777" w:rsidR="00BC6BDA" w:rsidRDefault="0053402D" w:rsidP="00BC6BDA">
      <w:pPr>
        <w:numPr>
          <w:ilvl w:val="3"/>
          <w:numId w:val="12"/>
        </w:numPr>
      </w:pPr>
      <w:r>
        <w:t>Payment Card Information</w:t>
      </w:r>
    </w:p>
    <w:p w14:paraId="19C414B1" w14:textId="77777777" w:rsidR="0053402D" w:rsidRDefault="0053402D" w:rsidP="00BC6BDA">
      <w:pPr>
        <w:numPr>
          <w:ilvl w:val="3"/>
          <w:numId w:val="12"/>
        </w:numPr>
      </w:pPr>
      <w:r>
        <w:t>Information protected by FERPA</w:t>
      </w:r>
      <w:r w:rsidR="008A4B2D">
        <w:br/>
      </w:r>
    </w:p>
    <w:p w14:paraId="19C414B2" w14:textId="4813A3B2" w:rsidR="006A2675" w:rsidRDefault="006A2675" w:rsidP="006A2675">
      <w:pPr>
        <w:numPr>
          <w:ilvl w:val="1"/>
          <w:numId w:val="7"/>
        </w:numPr>
      </w:pPr>
      <w:r>
        <w:t>The Incident Handler wi</w:t>
      </w:r>
      <w:r w:rsidR="00C211FE">
        <w:t>ll report the event</w:t>
      </w:r>
      <w:r>
        <w:t>.</w:t>
      </w:r>
    </w:p>
    <w:p w14:paraId="19C414B3" w14:textId="77777777" w:rsidR="006A2675" w:rsidRDefault="006A2675" w:rsidP="006A2675">
      <w:pPr>
        <w:ind w:left="792"/>
      </w:pPr>
    </w:p>
    <w:p w14:paraId="19C414B4" w14:textId="77777777" w:rsidR="006A2675" w:rsidRDefault="006A2675" w:rsidP="006A2675">
      <w:pPr>
        <w:numPr>
          <w:ilvl w:val="2"/>
          <w:numId w:val="7"/>
        </w:numPr>
      </w:pPr>
      <w:r>
        <w:t xml:space="preserve">If the event is </w:t>
      </w:r>
      <w:r w:rsidR="00436CAC">
        <w:t>not an incident</w:t>
      </w:r>
      <w:r w:rsidRPr="006A2675">
        <w:t xml:space="preserve">, relevant information is recorded and the incident report is closed. The event is </w:t>
      </w:r>
      <w:r w:rsidR="00894E14">
        <w:t xml:space="preserve">then </w:t>
      </w:r>
      <w:r w:rsidRPr="006A2675">
        <w:t>reported</w:t>
      </w:r>
      <w:r w:rsidR="00894E14">
        <w:t xml:space="preserve"> by email</w:t>
      </w:r>
      <w:r w:rsidRPr="006A2675">
        <w:t xml:space="preserve"> to the iTech Leadership, stakeholders, and systems owners.</w:t>
      </w:r>
      <w:r w:rsidR="00E04414">
        <w:br/>
      </w:r>
    </w:p>
    <w:p w14:paraId="19C414B5" w14:textId="77777777" w:rsidR="00FB4D2D" w:rsidRDefault="006A2675" w:rsidP="00E04414">
      <w:pPr>
        <w:numPr>
          <w:ilvl w:val="2"/>
          <w:numId w:val="7"/>
        </w:numPr>
      </w:pPr>
      <w:r>
        <w:lastRenderedPageBreak/>
        <w:t>If the event is determined to be an incident, t</w:t>
      </w:r>
      <w:r w:rsidR="0053402D">
        <w:t>he Incident Handler will</w:t>
      </w:r>
      <w:r w:rsidR="00030F73">
        <w:t xml:space="preserve"> immediately</w:t>
      </w:r>
      <w:r w:rsidR="00C43F0A">
        <w:t xml:space="preserve"> notify</w:t>
      </w:r>
      <w:r w:rsidR="0053402D">
        <w:t xml:space="preserve"> </w:t>
      </w:r>
      <w:r w:rsidR="00C43F0A">
        <w:t>iTech Leadership about</w:t>
      </w:r>
      <w:r w:rsidR="00BC6BDA">
        <w:t xml:space="preserve"> the incident</w:t>
      </w:r>
      <w:r>
        <w:t xml:space="preserve"> and proceed through the rest of the Incident Response Plan.</w:t>
      </w:r>
      <w:r w:rsidR="00E04414">
        <w:br/>
      </w:r>
      <w:r w:rsidR="00FB4D2D">
        <w:br/>
      </w:r>
    </w:p>
    <w:p w14:paraId="19C414B6" w14:textId="77777777" w:rsidR="00A71635" w:rsidRDefault="006A1B08" w:rsidP="00A71635">
      <w:pPr>
        <w:numPr>
          <w:ilvl w:val="0"/>
          <w:numId w:val="7"/>
        </w:numPr>
      </w:pPr>
      <w:r>
        <w:rPr>
          <w:b/>
          <w:sz w:val="24"/>
        </w:rPr>
        <w:t>Mandatory</w:t>
      </w:r>
      <w:r w:rsidR="00FB4D2D">
        <w:rPr>
          <w:b/>
          <w:sz w:val="24"/>
        </w:rPr>
        <w:t xml:space="preserve"> Response</w:t>
      </w:r>
      <w:r w:rsidR="00A71635">
        <w:rPr>
          <w:b/>
          <w:sz w:val="24"/>
        </w:rPr>
        <w:t xml:space="preserve"> Procedures for Incidents Affecting Payment Card Information</w:t>
      </w:r>
    </w:p>
    <w:p w14:paraId="040927BB" w14:textId="07EE5DA0" w:rsidR="00465EF3" w:rsidRDefault="00855894" w:rsidP="00465EF3">
      <w:pPr>
        <w:numPr>
          <w:ilvl w:val="1"/>
          <w:numId w:val="7"/>
        </w:numPr>
      </w:pPr>
      <w:r>
        <w:t xml:space="preserve">If during the “Identification Phase”, an incident of unauthorized access is confirmed and card holder data was potentially compromised, </w:t>
      </w:r>
      <w:r w:rsidR="00465EF3">
        <w:t>the following procedures must be performed:</w:t>
      </w:r>
      <w:r w:rsidR="00465EF3">
        <w:br/>
      </w:r>
    </w:p>
    <w:p w14:paraId="347BBE67" w14:textId="1AC30472" w:rsidR="00C211FE" w:rsidRDefault="00C211FE" w:rsidP="00465EF3">
      <w:pPr>
        <w:numPr>
          <w:ilvl w:val="2"/>
          <w:numId w:val="7"/>
        </w:numPr>
      </w:pPr>
      <w:r>
        <w:t xml:space="preserve">Don’t Panic </w:t>
      </w:r>
      <w:r>
        <w:br/>
      </w:r>
    </w:p>
    <w:p w14:paraId="3CDA96ED" w14:textId="5AE23B91" w:rsidR="00855894" w:rsidRDefault="00C211FE" w:rsidP="00465EF3">
      <w:pPr>
        <w:numPr>
          <w:ilvl w:val="2"/>
          <w:numId w:val="7"/>
        </w:numPr>
      </w:pPr>
      <w:r>
        <w:t>T</w:t>
      </w:r>
      <w:r w:rsidR="00855894">
        <w:t>he Incident Handler, must notify the Technology Security Officer, who will in turn notify the following University personnel:</w:t>
      </w:r>
    </w:p>
    <w:p w14:paraId="28DCD844" w14:textId="77777777" w:rsidR="00855894" w:rsidRDefault="00855894" w:rsidP="00465EF3">
      <w:pPr>
        <w:numPr>
          <w:ilvl w:val="3"/>
          <w:numId w:val="7"/>
        </w:numPr>
      </w:pPr>
      <w:r>
        <w:t>Chief Financial Officer</w:t>
      </w:r>
    </w:p>
    <w:p w14:paraId="3B617E32" w14:textId="77777777" w:rsidR="00855894" w:rsidRDefault="00855894" w:rsidP="00465EF3">
      <w:pPr>
        <w:numPr>
          <w:ilvl w:val="3"/>
          <w:numId w:val="7"/>
        </w:numPr>
      </w:pPr>
      <w:r>
        <w:t>Chief Information Officer</w:t>
      </w:r>
    </w:p>
    <w:p w14:paraId="263327AC" w14:textId="77777777" w:rsidR="00855894" w:rsidRDefault="00855894" w:rsidP="00465EF3">
      <w:pPr>
        <w:numPr>
          <w:ilvl w:val="3"/>
          <w:numId w:val="7"/>
        </w:numPr>
      </w:pPr>
      <w:r>
        <w:t>Director of Student Financial Services</w:t>
      </w:r>
    </w:p>
    <w:p w14:paraId="1385AD5B" w14:textId="77777777" w:rsidR="00855894" w:rsidRDefault="00855894" w:rsidP="00465EF3">
      <w:pPr>
        <w:numPr>
          <w:ilvl w:val="3"/>
          <w:numId w:val="7"/>
        </w:numPr>
      </w:pPr>
      <w:r>
        <w:t>University Police Department</w:t>
      </w:r>
    </w:p>
    <w:p w14:paraId="0A58348F" w14:textId="5E8A79E5" w:rsidR="00855894" w:rsidRDefault="00855894" w:rsidP="00465EF3">
      <w:pPr>
        <w:numPr>
          <w:ilvl w:val="3"/>
          <w:numId w:val="7"/>
        </w:numPr>
      </w:pPr>
      <w:r>
        <w:t>General Counsel</w:t>
      </w:r>
      <w:r w:rsidR="00465EF3">
        <w:br/>
      </w:r>
    </w:p>
    <w:p w14:paraId="10CEBB1E" w14:textId="01733DEE" w:rsidR="00855894" w:rsidRDefault="00855894" w:rsidP="00465EF3">
      <w:pPr>
        <w:numPr>
          <w:ilvl w:val="2"/>
          <w:numId w:val="7"/>
        </w:numPr>
      </w:pPr>
      <w:r>
        <w:t xml:space="preserve">The Director of Student Financial Services will be responsible for contacting the University’s Acquiring Bank(s), the Acquiring Bank will be responsible for communicating with the card brands (VISA, MasterCard) </w:t>
      </w:r>
      <w:r w:rsidR="00465EF3">
        <w:br/>
      </w:r>
    </w:p>
    <w:p w14:paraId="65ED2EDC" w14:textId="77777777" w:rsidR="00855894" w:rsidRDefault="00855894" w:rsidP="00465EF3">
      <w:pPr>
        <w:numPr>
          <w:ilvl w:val="2"/>
          <w:numId w:val="7"/>
        </w:numPr>
      </w:pPr>
      <w:r>
        <w:t>For incidents involving American Express cards, director of Student Financial Services must contact American Express Enterprise Incident Response Program (EIRP) within 24 hours after the reported incident.</w:t>
      </w:r>
    </w:p>
    <w:p w14:paraId="572B9A44" w14:textId="77777777" w:rsidR="00855894" w:rsidRDefault="00855894" w:rsidP="00465EF3">
      <w:pPr>
        <w:numPr>
          <w:ilvl w:val="3"/>
          <w:numId w:val="7"/>
        </w:numPr>
      </w:pPr>
      <w:r>
        <w:t>Phone number: (888) 732-3750</w:t>
      </w:r>
    </w:p>
    <w:p w14:paraId="3ECA1592" w14:textId="3D1B90FA" w:rsidR="00855894" w:rsidRDefault="00855894" w:rsidP="00465EF3">
      <w:pPr>
        <w:numPr>
          <w:ilvl w:val="3"/>
          <w:numId w:val="7"/>
        </w:numPr>
      </w:pPr>
      <w:r>
        <w:t xml:space="preserve">Email: EIRP@aexp.com. </w:t>
      </w:r>
      <w:r w:rsidR="00465EF3">
        <w:br/>
      </w:r>
    </w:p>
    <w:p w14:paraId="69AA46F9" w14:textId="64D3F222" w:rsidR="00855894" w:rsidRDefault="00855894" w:rsidP="00465EF3">
      <w:pPr>
        <w:numPr>
          <w:ilvl w:val="2"/>
          <w:numId w:val="7"/>
        </w:numPr>
      </w:pPr>
      <w:r>
        <w:t>If Discover Network payment cards are potentially included in the breach the Director of Financial Services must notify Discover Security within 48 hour by calling the phone number: (800) 347-3083</w:t>
      </w:r>
      <w:r w:rsidR="0086511D">
        <w:br/>
      </w:r>
    </w:p>
    <w:p w14:paraId="44719C7E" w14:textId="77777777" w:rsidR="00855894" w:rsidRDefault="00855894" w:rsidP="00465EF3">
      <w:pPr>
        <w:numPr>
          <w:ilvl w:val="2"/>
          <w:numId w:val="7"/>
        </w:numPr>
      </w:pPr>
      <w:r>
        <w:t>Assist card industry security and law enforcement personnel in investigative process.</w:t>
      </w:r>
    </w:p>
    <w:p w14:paraId="19C414BC" w14:textId="32ABE6BB" w:rsidR="0053402D" w:rsidRDefault="0053402D" w:rsidP="00465EF3"/>
    <w:p w14:paraId="19C414BD" w14:textId="77777777" w:rsidR="009023AF" w:rsidRPr="009023AF" w:rsidRDefault="0053402D" w:rsidP="009023AF">
      <w:pPr>
        <w:numPr>
          <w:ilvl w:val="0"/>
          <w:numId w:val="7"/>
        </w:numPr>
        <w:rPr>
          <w:sz w:val="24"/>
        </w:rPr>
      </w:pPr>
      <w:r>
        <w:rPr>
          <w:b/>
          <w:sz w:val="24"/>
        </w:rPr>
        <w:t>Containment</w:t>
      </w:r>
      <w:r w:rsidR="009023AF">
        <w:rPr>
          <w:b/>
          <w:sz w:val="24"/>
        </w:rPr>
        <w:t xml:space="preserve"> and Eradication</w:t>
      </w:r>
    </w:p>
    <w:p w14:paraId="19C414BE" w14:textId="77777777" w:rsidR="00541F30" w:rsidRDefault="00541F30" w:rsidP="008F7FAD">
      <w:pPr>
        <w:numPr>
          <w:ilvl w:val="1"/>
          <w:numId w:val="7"/>
        </w:numPr>
      </w:pPr>
      <w:r>
        <w:t>Don’t Panic</w:t>
      </w:r>
      <w:r>
        <w:br/>
      </w:r>
    </w:p>
    <w:p w14:paraId="19C414BF" w14:textId="77777777" w:rsidR="009023AF" w:rsidRDefault="009023AF" w:rsidP="008F7FAD">
      <w:pPr>
        <w:numPr>
          <w:ilvl w:val="1"/>
          <w:numId w:val="7"/>
        </w:numPr>
      </w:pPr>
      <w:r>
        <w:t xml:space="preserve">The Incident Handler will assemble a team of appropriate personnel for addressing any containment and eradication functions necessary to </w:t>
      </w:r>
      <w:r w:rsidR="008F7FAD">
        <w:t>properly remediate the incident</w:t>
      </w:r>
      <w:r w:rsidR="00D306E1">
        <w:t>.</w:t>
      </w:r>
      <w:r w:rsidR="008F7FAD">
        <w:t xml:space="preserve"> </w:t>
      </w:r>
      <w:r w:rsidR="00D306E1">
        <w:t>I</w:t>
      </w:r>
      <w:r w:rsidR="008F7FAD">
        <w:t xml:space="preserve">f a team is not necessary, </w:t>
      </w:r>
      <w:r w:rsidR="00BC6BDA">
        <w:t xml:space="preserve">the Incident Handler </w:t>
      </w:r>
      <w:r w:rsidR="008F7FAD">
        <w:t xml:space="preserve">will delegate the response to an appropriate </w:t>
      </w:r>
      <w:r w:rsidR="00D86ECB">
        <w:t>operations person</w:t>
      </w:r>
      <w:r w:rsidR="008F7FAD">
        <w:t xml:space="preserve">. </w:t>
      </w:r>
      <w:r w:rsidR="008A4B2D">
        <w:br/>
      </w:r>
    </w:p>
    <w:p w14:paraId="19C414C0" w14:textId="77777777" w:rsidR="009023AF" w:rsidRDefault="009023AF" w:rsidP="008F7FAD">
      <w:pPr>
        <w:numPr>
          <w:ilvl w:val="1"/>
          <w:numId w:val="7"/>
        </w:numPr>
      </w:pPr>
      <w:r>
        <w:t xml:space="preserve">If at all possible, </w:t>
      </w:r>
      <w:r w:rsidR="008F7FAD">
        <w:t>operations staff</w:t>
      </w:r>
      <w:r>
        <w:t xml:space="preserve"> will enact the business continuity plan </w:t>
      </w:r>
      <w:r w:rsidR="00C43F0A">
        <w:t xml:space="preserve">for the affected systems </w:t>
      </w:r>
      <w:r w:rsidR="008F7FAD">
        <w:t>or applications and the system</w:t>
      </w:r>
      <w:r w:rsidR="00C43F0A">
        <w:t>s</w:t>
      </w:r>
      <w:r w:rsidR="008F7FAD">
        <w:t xml:space="preserve"> or application</w:t>
      </w:r>
      <w:r w:rsidR="00C43F0A">
        <w:t>s</w:t>
      </w:r>
      <w:r w:rsidR="008F7FAD">
        <w:t xml:space="preserve"> will be made unavailable</w:t>
      </w:r>
      <w:r w:rsidR="00D86ECB">
        <w:t xml:space="preserve"> as</w:t>
      </w:r>
      <w:r w:rsidR="008F7FAD">
        <w:t xml:space="preserve"> to mitigate any further control or interaction by threat actors. </w:t>
      </w:r>
      <w:r w:rsidR="008A4B2D">
        <w:br/>
      </w:r>
    </w:p>
    <w:p w14:paraId="19C414C1" w14:textId="77777777" w:rsidR="008F7FAD" w:rsidRDefault="008F7FAD" w:rsidP="00A9779C">
      <w:pPr>
        <w:numPr>
          <w:ilvl w:val="1"/>
          <w:numId w:val="7"/>
        </w:numPr>
      </w:pPr>
      <w:r>
        <w:t xml:space="preserve">The Incident response team </w:t>
      </w:r>
      <w:r w:rsidR="009023AF">
        <w:t>will me</w:t>
      </w:r>
      <w:r w:rsidR="00C43F0A">
        <w:t>et, determine</w:t>
      </w:r>
      <w:r>
        <w:t xml:space="preserve"> response and</w:t>
      </w:r>
      <w:r w:rsidR="009023AF">
        <w:t xml:space="preserve"> develop a plan to execute the re</w:t>
      </w:r>
      <w:r>
        <w:t>s</w:t>
      </w:r>
      <w:r w:rsidR="009023AF">
        <w:t xml:space="preserve">ponse. </w:t>
      </w:r>
      <w:r>
        <w:t xml:space="preserve">If the response has been delegated to a single person, that person and incident handler will develop a </w:t>
      </w:r>
      <w:r>
        <w:lastRenderedPageBreak/>
        <w:t xml:space="preserve">response plan. </w:t>
      </w:r>
      <w:r w:rsidR="008A4B2D">
        <w:br/>
      </w:r>
    </w:p>
    <w:p w14:paraId="19C414C2" w14:textId="77777777" w:rsidR="00FB4D2D" w:rsidRDefault="008F7FAD" w:rsidP="00664377">
      <w:pPr>
        <w:numPr>
          <w:ilvl w:val="1"/>
          <w:numId w:val="7"/>
        </w:numPr>
      </w:pPr>
      <w:r>
        <w:t xml:space="preserve">The Incident Response Team, TSO, and related Operations personnel will occasionally meet during the response to discuss findings and progress. If response has been delegated to a single person, this person will occasionally brief the Incident Handler to the status of the response and any related findings.  </w:t>
      </w:r>
      <w:r w:rsidR="00FB4D2D">
        <w:br/>
      </w:r>
    </w:p>
    <w:p w14:paraId="19C414C3" w14:textId="77777777" w:rsidR="00FB4D2D" w:rsidRDefault="00FB4D2D" w:rsidP="008F7FAD">
      <w:pPr>
        <w:numPr>
          <w:ilvl w:val="1"/>
          <w:numId w:val="7"/>
        </w:numPr>
      </w:pPr>
      <w:r>
        <w:t>Specific procedures for the detection of Rogue Wireless Access points.</w:t>
      </w:r>
      <w:r>
        <w:br/>
      </w:r>
    </w:p>
    <w:p w14:paraId="19C414C4" w14:textId="77777777" w:rsidR="00577107" w:rsidRDefault="00FB4D2D" w:rsidP="00577107">
      <w:pPr>
        <w:numPr>
          <w:ilvl w:val="2"/>
          <w:numId w:val="7"/>
        </w:numPr>
      </w:pPr>
      <w:r w:rsidRPr="00FB4D2D">
        <w:t xml:space="preserve">Any device that shares our 802.11 Wi-Fi spectrum and is not managed by USM </w:t>
      </w:r>
      <w:r>
        <w:t>will</w:t>
      </w:r>
      <w:r w:rsidRPr="00FB4D2D">
        <w:t xml:space="preserve"> be considered a rogue</w:t>
      </w:r>
      <w:r>
        <w:t xml:space="preserve"> device</w:t>
      </w:r>
      <w:r w:rsidR="00577107">
        <w:t>.</w:t>
      </w:r>
      <w:r w:rsidR="00577107">
        <w:br/>
      </w:r>
    </w:p>
    <w:p w14:paraId="19C414C5" w14:textId="77777777" w:rsidR="009023AF" w:rsidRDefault="00577107" w:rsidP="009656BD">
      <w:pPr>
        <w:numPr>
          <w:ilvl w:val="2"/>
          <w:numId w:val="7"/>
        </w:numPr>
      </w:pPr>
      <w:r>
        <w:t xml:space="preserve">Rogue devices will be contained via a method of using over-the-air packets to temporarily interrupt service on a rogue device until it can physically be removed. Containment works by spoofing de-authentication packets with the spoofed source address of the rogue AP so that any clients associated are kicked off. </w:t>
      </w:r>
      <w:r>
        <w:br/>
      </w:r>
    </w:p>
    <w:p w14:paraId="19C414C6" w14:textId="77777777" w:rsidR="00541F30" w:rsidRDefault="00D306E1" w:rsidP="00D41491">
      <w:pPr>
        <w:numPr>
          <w:ilvl w:val="0"/>
          <w:numId w:val="7"/>
        </w:numPr>
      </w:pPr>
      <w:r>
        <w:rPr>
          <w:b/>
          <w:sz w:val="24"/>
        </w:rPr>
        <w:t>Recovery</w:t>
      </w:r>
    </w:p>
    <w:p w14:paraId="19C414C7" w14:textId="77777777" w:rsidR="00924845" w:rsidRDefault="00924845" w:rsidP="009023AF">
      <w:pPr>
        <w:numPr>
          <w:ilvl w:val="1"/>
          <w:numId w:val="7"/>
        </w:numPr>
      </w:pPr>
      <w:r>
        <w:t>When the response plan has been completed, Operations</w:t>
      </w:r>
      <w:r w:rsidR="00A9779C">
        <w:t xml:space="preserve"> personnel</w:t>
      </w:r>
      <w:r>
        <w:t xml:space="preserve"> and Inc</w:t>
      </w:r>
      <w:r w:rsidR="00A9779C">
        <w:t>ident Response team will brief the TSO,</w:t>
      </w:r>
      <w:r>
        <w:t xml:space="preserve"> detailing the outcome of remediation efforts and findings.</w:t>
      </w:r>
      <w:r w:rsidR="008A4B2D">
        <w:br/>
      </w:r>
    </w:p>
    <w:p w14:paraId="19C414C8" w14:textId="22685F9E" w:rsidR="00C211FE" w:rsidRDefault="00924845" w:rsidP="00FB4D2D">
      <w:pPr>
        <w:numPr>
          <w:ilvl w:val="1"/>
          <w:numId w:val="7"/>
        </w:numPr>
      </w:pPr>
      <w:r>
        <w:t>If necessary, t</w:t>
      </w:r>
      <w:r w:rsidR="00F31D62">
        <w:t>he O</w:t>
      </w:r>
      <w:r w:rsidR="00D306E1">
        <w:t xml:space="preserve">perations staff will perform Disaster Recovery duties to </w:t>
      </w:r>
      <w:r>
        <w:t>recover systems and data to</w:t>
      </w:r>
      <w:r w:rsidR="0086511D">
        <w:t xml:space="preserve"> a</w:t>
      </w:r>
      <w:r>
        <w:t xml:space="preserve"> pre-incident stat</w:t>
      </w:r>
      <w:r w:rsidR="0086511D">
        <w:t>e</w:t>
      </w:r>
      <w:r>
        <w:t xml:space="preserve">, and the Incident Handler will document the Recovery efforts and outcome. </w:t>
      </w:r>
      <w:r w:rsidR="00941F15">
        <w:br/>
      </w:r>
    </w:p>
    <w:p w14:paraId="52ACFB97" w14:textId="1C746D88" w:rsidR="00941F15" w:rsidRDefault="00941F15" w:rsidP="00C211FE"/>
    <w:p w14:paraId="19C414C9" w14:textId="3E6DC5CE" w:rsidR="00924845" w:rsidRDefault="00924845" w:rsidP="00941F15">
      <w:pPr>
        <w:numPr>
          <w:ilvl w:val="0"/>
          <w:numId w:val="7"/>
        </w:numPr>
      </w:pPr>
      <w:r w:rsidRPr="00941F15">
        <w:rPr>
          <w:b/>
          <w:sz w:val="24"/>
        </w:rPr>
        <w:t>Lessons Learned</w:t>
      </w:r>
      <w:r w:rsidR="0086511D">
        <w:rPr>
          <w:b/>
          <w:sz w:val="24"/>
        </w:rPr>
        <w:t xml:space="preserve"> and Monitoring</w:t>
      </w:r>
    </w:p>
    <w:p w14:paraId="19C414CA" w14:textId="77777777" w:rsidR="00924845" w:rsidRDefault="00924845" w:rsidP="00924845">
      <w:pPr>
        <w:numPr>
          <w:ilvl w:val="1"/>
          <w:numId w:val="7"/>
        </w:numPr>
      </w:pPr>
      <w:r>
        <w:t>The Incident Response team or responding individual a</w:t>
      </w:r>
      <w:r w:rsidR="006637CD">
        <w:t>nd Incident Handler will meet and discuss the i</w:t>
      </w:r>
      <w:r>
        <w:t xml:space="preserve">ncident, remediation efforts, and recovery efforts. </w:t>
      </w:r>
    </w:p>
    <w:p w14:paraId="19C414CB" w14:textId="77777777" w:rsidR="00581E49" w:rsidRDefault="00581E49" w:rsidP="00581E49">
      <w:pPr>
        <w:ind w:left="792"/>
      </w:pPr>
    </w:p>
    <w:p w14:paraId="19C414CC" w14:textId="77777777" w:rsidR="00581E49" w:rsidRDefault="00924845" w:rsidP="00BB524A">
      <w:pPr>
        <w:numPr>
          <w:ilvl w:val="1"/>
          <w:numId w:val="7"/>
        </w:numPr>
      </w:pPr>
      <w:r>
        <w:t xml:space="preserve">The Incident Handler will report the summary of the incident and any recommendations to </w:t>
      </w:r>
      <w:r w:rsidR="006637CD">
        <w:t xml:space="preserve">iTech </w:t>
      </w:r>
      <w:r>
        <w:t>Leadership, Stakeholders, and System Owners.</w:t>
      </w:r>
      <w:r w:rsidR="00581E49">
        <w:t xml:space="preserve"> </w:t>
      </w:r>
    </w:p>
    <w:p w14:paraId="19C414CD" w14:textId="77777777" w:rsidR="00581E49" w:rsidRDefault="00581E49" w:rsidP="00581E49">
      <w:pPr>
        <w:pStyle w:val="ListParagraph"/>
      </w:pPr>
    </w:p>
    <w:p w14:paraId="19C414CE" w14:textId="77777777" w:rsidR="00581E49" w:rsidRDefault="00581E49" w:rsidP="00581E49">
      <w:pPr>
        <w:numPr>
          <w:ilvl w:val="2"/>
          <w:numId w:val="7"/>
        </w:numPr>
      </w:pPr>
      <w:r>
        <w:t>The incident handler will note if recommendations have been accepted or not.</w:t>
      </w:r>
    </w:p>
    <w:p w14:paraId="19C414CF" w14:textId="77777777" w:rsidR="00BB524A" w:rsidRDefault="00581E49" w:rsidP="00581E49">
      <w:pPr>
        <w:numPr>
          <w:ilvl w:val="2"/>
          <w:numId w:val="7"/>
        </w:numPr>
      </w:pPr>
      <w:r>
        <w:t xml:space="preserve">If recommendations are accepted, a due date and the person(s) responsible for the implementation of recommendations will be noted on the Incident Response Report. </w:t>
      </w:r>
      <w:r w:rsidR="00BB524A">
        <w:br/>
      </w:r>
    </w:p>
    <w:p w14:paraId="19C414D0" w14:textId="77777777" w:rsidR="00924845" w:rsidRDefault="00851772" w:rsidP="00BB524A">
      <w:pPr>
        <w:numPr>
          <w:ilvl w:val="1"/>
          <w:numId w:val="7"/>
        </w:numPr>
      </w:pPr>
      <w:r>
        <w:t xml:space="preserve">The TSO may use information from the response in consideration for purposes of modifying the Incident Response Plan or Incident Response Policy. </w:t>
      </w:r>
      <w:r w:rsidR="008A4B2D">
        <w:br/>
      </w:r>
    </w:p>
    <w:p w14:paraId="19C414D1" w14:textId="77777777" w:rsidR="006637CD" w:rsidRDefault="00924845" w:rsidP="008A4B2D">
      <w:pPr>
        <w:numPr>
          <w:ilvl w:val="1"/>
          <w:numId w:val="7"/>
        </w:numPr>
      </w:pPr>
      <w:r>
        <w:t>Operational Personnel will monitor the system and network traffic for</w:t>
      </w:r>
      <w:r w:rsidR="008A4B2D">
        <w:t xml:space="preserve"> specific</w:t>
      </w:r>
      <w:r>
        <w:t xml:space="preserve"> indications of incident relapse</w:t>
      </w:r>
      <w:r w:rsidR="006637CD">
        <w:t xml:space="preserve"> for a period of 21</w:t>
      </w:r>
      <w:r w:rsidR="008A4B2D">
        <w:t xml:space="preserve"> days</w:t>
      </w:r>
      <w:r>
        <w:t>.</w:t>
      </w:r>
      <w:r w:rsidR="00C1335C">
        <w:br/>
      </w:r>
      <w:r>
        <w:t xml:space="preserve"> </w:t>
      </w:r>
    </w:p>
    <w:p w14:paraId="59499FD9" w14:textId="77777777" w:rsidR="00451BEE" w:rsidRDefault="00924845" w:rsidP="00160781">
      <w:pPr>
        <w:numPr>
          <w:ilvl w:val="2"/>
          <w:numId w:val="7"/>
        </w:numPr>
      </w:pPr>
      <w:r>
        <w:t>If an event is discovered and determined t</w:t>
      </w:r>
      <w:r w:rsidR="006637CD">
        <w:t>o be an incident, operational staff will report the event and the</w:t>
      </w:r>
      <w:r w:rsidR="008A4B2D">
        <w:t xml:space="preserve"> Incident H</w:t>
      </w:r>
      <w:r>
        <w:t xml:space="preserve">andler will </w:t>
      </w:r>
      <w:r w:rsidR="008A4B2D">
        <w:t>start the Incident Response plan</w:t>
      </w:r>
      <w:r>
        <w:t xml:space="preserve"> </w:t>
      </w:r>
      <w:r w:rsidR="008A4B2D">
        <w:t>again.</w:t>
      </w:r>
    </w:p>
    <w:p w14:paraId="3BDB4F0F" w14:textId="78862258" w:rsidR="00160781" w:rsidRDefault="00160781" w:rsidP="00451BEE">
      <w:r>
        <w:br/>
      </w:r>
    </w:p>
    <w:p w14:paraId="19C414D2" w14:textId="6B40A1DB" w:rsidR="00541F30" w:rsidRPr="00160781" w:rsidRDefault="008A4B2D" w:rsidP="00160781">
      <w:pPr>
        <w:numPr>
          <w:ilvl w:val="0"/>
          <w:numId w:val="7"/>
        </w:numPr>
        <w:rPr>
          <w:b/>
        </w:rPr>
      </w:pPr>
      <w:r>
        <w:t xml:space="preserve"> </w:t>
      </w:r>
      <w:r w:rsidR="00160781" w:rsidRPr="00160781">
        <w:rPr>
          <w:b/>
          <w:sz w:val="24"/>
        </w:rPr>
        <w:t>Appendices</w:t>
      </w:r>
    </w:p>
    <w:p w14:paraId="19C414D3" w14:textId="3A006822" w:rsidR="00FB4D2D" w:rsidRDefault="00160781" w:rsidP="00FB4D2D">
      <w:pPr>
        <w:numPr>
          <w:ilvl w:val="1"/>
          <w:numId w:val="7"/>
        </w:numPr>
      </w:pPr>
      <w:r>
        <w:lastRenderedPageBreak/>
        <w:t>Incident Report Form: incidentReport-Win.xls</w:t>
      </w:r>
      <w:r w:rsidR="004C5825">
        <w:t>x</w:t>
      </w:r>
    </w:p>
    <w:p w14:paraId="19C414D4" w14:textId="593EF55D" w:rsidR="00CA7259" w:rsidRDefault="000706DA" w:rsidP="00541F30">
      <w:r>
        <w:rPr>
          <w:noProof/>
        </w:rPr>
        <w:lastRenderedPageBreak/>
        <w:drawing>
          <wp:inline distT="0" distB="0" distL="0" distR="0" wp14:anchorId="5F57D08B" wp14:editId="33048203">
            <wp:extent cx="8065008" cy="3767328"/>
            <wp:effectExtent l="0" t="3810" r="889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RPlan-mk3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065008" cy="3767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A7259"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311FD3" w14:textId="77777777" w:rsidR="00D93EDA" w:rsidRDefault="00D93EDA" w:rsidP="00F31D62">
      <w:r>
        <w:separator/>
      </w:r>
    </w:p>
  </w:endnote>
  <w:endnote w:type="continuationSeparator" w:id="0">
    <w:p w14:paraId="710DD62C" w14:textId="77777777" w:rsidR="00D93EDA" w:rsidRDefault="00D93EDA" w:rsidP="00F31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15D650" w14:textId="53F3D4EE" w:rsidR="00992DAF" w:rsidRDefault="00F31D62">
    <w:pPr>
      <w:pStyle w:val="Footer"/>
    </w:pPr>
    <w:r>
      <w:t>V</w:t>
    </w:r>
    <w:r w:rsidR="001C2E9B">
      <w:t>er. 1.160</w:t>
    </w:r>
    <w:r w:rsidR="00984222">
      <w:t>413</w:t>
    </w:r>
    <w:r w:rsidR="001C2E9B">
      <w:t>.</w:t>
    </w:r>
    <w:r w:rsidR="00984222">
      <w:t>1</w:t>
    </w:r>
  </w:p>
  <w:p w14:paraId="19C414DD" w14:textId="77777777" w:rsidR="00F31D62" w:rsidRDefault="00F31D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1A244A" w14:textId="77777777" w:rsidR="00D93EDA" w:rsidRDefault="00D93EDA" w:rsidP="00F31D62">
      <w:r>
        <w:separator/>
      </w:r>
    </w:p>
  </w:footnote>
  <w:footnote w:type="continuationSeparator" w:id="0">
    <w:p w14:paraId="1CD9FBC7" w14:textId="77777777" w:rsidR="00D93EDA" w:rsidRDefault="00D93EDA" w:rsidP="00F31D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F50B4"/>
    <w:multiLevelType w:val="hybridMultilevel"/>
    <w:tmpl w:val="9DB0DC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E930F9"/>
    <w:multiLevelType w:val="multilevel"/>
    <w:tmpl w:val="4CE431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  <w:b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1A777482"/>
    <w:multiLevelType w:val="multilevel"/>
    <w:tmpl w:val="FBA211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27034574"/>
    <w:multiLevelType w:val="multilevel"/>
    <w:tmpl w:val="4CE431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  <w:b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2C3F1B7F"/>
    <w:multiLevelType w:val="multilevel"/>
    <w:tmpl w:val="0C00C4F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30124C06"/>
    <w:multiLevelType w:val="multilevel"/>
    <w:tmpl w:val="4CE431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  <w:b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344F6A5D"/>
    <w:multiLevelType w:val="multilevel"/>
    <w:tmpl w:val="9CA026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37D107DF"/>
    <w:multiLevelType w:val="multilevel"/>
    <w:tmpl w:val="4CE431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  <w:b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3BBC4F37"/>
    <w:multiLevelType w:val="multilevel"/>
    <w:tmpl w:val="8F1245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49923855"/>
    <w:multiLevelType w:val="multilevel"/>
    <w:tmpl w:val="1E3ADEC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5D2D514F"/>
    <w:multiLevelType w:val="multilevel"/>
    <w:tmpl w:val="16E6DB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5D51278B"/>
    <w:multiLevelType w:val="multilevel"/>
    <w:tmpl w:val="803C12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6193129D"/>
    <w:multiLevelType w:val="multilevel"/>
    <w:tmpl w:val="71680D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7E4E40D4"/>
    <w:multiLevelType w:val="multilevel"/>
    <w:tmpl w:val="4CE431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5"/>
  </w:num>
  <w:num w:numId="5">
    <w:abstractNumId w:val="13"/>
  </w:num>
  <w:num w:numId="6">
    <w:abstractNumId w:val="3"/>
  </w:num>
  <w:num w:numId="7">
    <w:abstractNumId w:val="9"/>
  </w:num>
  <w:num w:numId="8">
    <w:abstractNumId w:val="12"/>
  </w:num>
  <w:num w:numId="9">
    <w:abstractNumId w:val="2"/>
  </w:num>
  <w:num w:numId="10">
    <w:abstractNumId w:val="10"/>
  </w:num>
  <w:num w:numId="11">
    <w:abstractNumId w:val="11"/>
  </w:num>
  <w:num w:numId="12">
    <w:abstractNumId w:val="6"/>
  </w:num>
  <w:num w:numId="13">
    <w:abstractNumId w:val="8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99B"/>
    <w:rsid w:val="00000BC1"/>
    <w:rsid w:val="00003D33"/>
    <w:rsid w:val="00030F73"/>
    <w:rsid w:val="00035D8D"/>
    <w:rsid w:val="00055297"/>
    <w:rsid w:val="000706DA"/>
    <w:rsid w:val="00072E0A"/>
    <w:rsid w:val="000765DD"/>
    <w:rsid w:val="000B25F0"/>
    <w:rsid w:val="000B4E60"/>
    <w:rsid w:val="000C58F2"/>
    <w:rsid w:val="000E1439"/>
    <w:rsid w:val="000E69F2"/>
    <w:rsid w:val="000F7EF1"/>
    <w:rsid w:val="0013040B"/>
    <w:rsid w:val="001373C3"/>
    <w:rsid w:val="00152704"/>
    <w:rsid w:val="00153A46"/>
    <w:rsid w:val="00160781"/>
    <w:rsid w:val="0017021F"/>
    <w:rsid w:val="00170CBB"/>
    <w:rsid w:val="001A6F05"/>
    <w:rsid w:val="001B07D1"/>
    <w:rsid w:val="001C2E9B"/>
    <w:rsid w:val="001C6209"/>
    <w:rsid w:val="001C659B"/>
    <w:rsid w:val="001E04FF"/>
    <w:rsid w:val="001E2443"/>
    <w:rsid w:val="001E6B0B"/>
    <w:rsid w:val="001F3DBC"/>
    <w:rsid w:val="00204579"/>
    <w:rsid w:val="00204F67"/>
    <w:rsid w:val="00214101"/>
    <w:rsid w:val="002169F8"/>
    <w:rsid w:val="0022416F"/>
    <w:rsid w:val="00246AD0"/>
    <w:rsid w:val="00247291"/>
    <w:rsid w:val="00251D42"/>
    <w:rsid w:val="00296E38"/>
    <w:rsid w:val="002C1187"/>
    <w:rsid w:val="002F1630"/>
    <w:rsid w:val="003233AC"/>
    <w:rsid w:val="003277DC"/>
    <w:rsid w:val="003652C2"/>
    <w:rsid w:val="00371220"/>
    <w:rsid w:val="003A5E14"/>
    <w:rsid w:val="003F139D"/>
    <w:rsid w:val="003F3B38"/>
    <w:rsid w:val="003F743B"/>
    <w:rsid w:val="00413673"/>
    <w:rsid w:val="00417C83"/>
    <w:rsid w:val="00436CAC"/>
    <w:rsid w:val="004463D2"/>
    <w:rsid w:val="00447482"/>
    <w:rsid w:val="00451BEE"/>
    <w:rsid w:val="00465EF3"/>
    <w:rsid w:val="00472078"/>
    <w:rsid w:val="00474791"/>
    <w:rsid w:val="004A308C"/>
    <w:rsid w:val="004A58D5"/>
    <w:rsid w:val="004C5825"/>
    <w:rsid w:val="004D4975"/>
    <w:rsid w:val="004E3534"/>
    <w:rsid w:val="004F3088"/>
    <w:rsid w:val="004F37C4"/>
    <w:rsid w:val="0051047E"/>
    <w:rsid w:val="00514251"/>
    <w:rsid w:val="00514B22"/>
    <w:rsid w:val="00517CD6"/>
    <w:rsid w:val="00521D52"/>
    <w:rsid w:val="0053402D"/>
    <w:rsid w:val="00541F30"/>
    <w:rsid w:val="00542445"/>
    <w:rsid w:val="005567B7"/>
    <w:rsid w:val="00577107"/>
    <w:rsid w:val="00581E49"/>
    <w:rsid w:val="005862FA"/>
    <w:rsid w:val="00591200"/>
    <w:rsid w:val="005A6198"/>
    <w:rsid w:val="005A69BA"/>
    <w:rsid w:val="005C7766"/>
    <w:rsid w:val="006175A7"/>
    <w:rsid w:val="00632175"/>
    <w:rsid w:val="00634D0A"/>
    <w:rsid w:val="00656893"/>
    <w:rsid w:val="006637CD"/>
    <w:rsid w:val="00664377"/>
    <w:rsid w:val="00672E14"/>
    <w:rsid w:val="00676773"/>
    <w:rsid w:val="00683F2E"/>
    <w:rsid w:val="006A1B08"/>
    <w:rsid w:val="006A2675"/>
    <w:rsid w:val="006A2B3A"/>
    <w:rsid w:val="006C49EE"/>
    <w:rsid w:val="006D4FDA"/>
    <w:rsid w:val="006F7092"/>
    <w:rsid w:val="00703C39"/>
    <w:rsid w:val="00711974"/>
    <w:rsid w:val="00714B57"/>
    <w:rsid w:val="00724344"/>
    <w:rsid w:val="0072792F"/>
    <w:rsid w:val="0074500F"/>
    <w:rsid w:val="00767D75"/>
    <w:rsid w:val="00776BBA"/>
    <w:rsid w:val="00776C3A"/>
    <w:rsid w:val="00776F5C"/>
    <w:rsid w:val="00797B62"/>
    <w:rsid w:val="007A2DDD"/>
    <w:rsid w:val="007B262C"/>
    <w:rsid w:val="007B4623"/>
    <w:rsid w:val="007C74DE"/>
    <w:rsid w:val="007C7594"/>
    <w:rsid w:val="007D42DE"/>
    <w:rsid w:val="00803AC6"/>
    <w:rsid w:val="00810FB4"/>
    <w:rsid w:val="00811742"/>
    <w:rsid w:val="00834505"/>
    <w:rsid w:val="00843E1F"/>
    <w:rsid w:val="00851772"/>
    <w:rsid w:val="00855894"/>
    <w:rsid w:val="0086511D"/>
    <w:rsid w:val="00875F38"/>
    <w:rsid w:val="00892FCB"/>
    <w:rsid w:val="00894E14"/>
    <w:rsid w:val="008A4B2D"/>
    <w:rsid w:val="008E2620"/>
    <w:rsid w:val="008F7FAD"/>
    <w:rsid w:val="009023AF"/>
    <w:rsid w:val="00911413"/>
    <w:rsid w:val="00924845"/>
    <w:rsid w:val="009330AE"/>
    <w:rsid w:val="00941F15"/>
    <w:rsid w:val="00947ADC"/>
    <w:rsid w:val="009656BD"/>
    <w:rsid w:val="009727BB"/>
    <w:rsid w:val="00976536"/>
    <w:rsid w:val="00980C8A"/>
    <w:rsid w:val="00984222"/>
    <w:rsid w:val="00985BE2"/>
    <w:rsid w:val="00990D08"/>
    <w:rsid w:val="00992DAF"/>
    <w:rsid w:val="009A38AB"/>
    <w:rsid w:val="009A4A48"/>
    <w:rsid w:val="009F6CC2"/>
    <w:rsid w:val="00A001E6"/>
    <w:rsid w:val="00A00634"/>
    <w:rsid w:val="00A12A94"/>
    <w:rsid w:val="00A42B6A"/>
    <w:rsid w:val="00A71635"/>
    <w:rsid w:val="00A9080B"/>
    <w:rsid w:val="00A91F99"/>
    <w:rsid w:val="00A9779C"/>
    <w:rsid w:val="00AA1C41"/>
    <w:rsid w:val="00AB6783"/>
    <w:rsid w:val="00AC4352"/>
    <w:rsid w:val="00AD2E9E"/>
    <w:rsid w:val="00AE2570"/>
    <w:rsid w:val="00B02896"/>
    <w:rsid w:val="00B3063B"/>
    <w:rsid w:val="00B3356C"/>
    <w:rsid w:val="00B36DE6"/>
    <w:rsid w:val="00B57A43"/>
    <w:rsid w:val="00B658E6"/>
    <w:rsid w:val="00B93140"/>
    <w:rsid w:val="00BA7390"/>
    <w:rsid w:val="00BB48F4"/>
    <w:rsid w:val="00BB4FE4"/>
    <w:rsid w:val="00BB524A"/>
    <w:rsid w:val="00BC6BDA"/>
    <w:rsid w:val="00BC6CB2"/>
    <w:rsid w:val="00BE199B"/>
    <w:rsid w:val="00BE6BD2"/>
    <w:rsid w:val="00BF7E04"/>
    <w:rsid w:val="00C1335C"/>
    <w:rsid w:val="00C211FE"/>
    <w:rsid w:val="00C272F2"/>
    <w:rsid w:val="00C35B3C"/>
    <w:rsid w:val="00C374EE"/>
    <w:rsid w:val="00C43F0A"/>
    <w:rsid w:val="00C54C80"/>
    <w:rsid w:val="00CA5CE2"/>
    <w:rsid w:val="00CA702A"/>
    <w:rsid w:val="00CA7259"/>
    <w:rsid w:val="00CA78E1"/>
    <w:rsid w:val="00CE4FCF"/>
    <w:rsid w:val="00CE5380"/>
    <w:rsid w:val="00CE5B62"/>
    <w:rsid w:val="00D21769"/>
    <w:rsid w:val="00D306E1"/>
    <w:rsid w:val="00D33A9B"/>
    <w:rsid w:val="00D41491"/>
    <w:rsid w:val="00D6723E"/>
    <w:rsid w:val="00D85718"/>
    <w:rsid w:val="00D86ECB"/>
    <w:rsid w:val="00D93EDA"/>
    <w:rsid w:val="00D970A0"/>
    <w:rsid w:val="00DB0A33"/>
    <w:rsid w:val="00DB48D0"/>
    <w:rsid w:val="00DE553D"/>
    <w:rsid w:val="00DF088C"/>
    <w:rsid w:val="00E01C9E"/>
    <w:rsid w:val="00E04414"/>
    <w:rsid w:val="00E12FF3"/>
    <w:rsid w:val="00E868AB"/>
    <w:rsid w:val="00EB5755"/>
    <w:rsid w:val="00EC66AA"/>
    <w:rsid w:val="00ED40BB"/>
    <w:rsid w:val="00EE6D9D"/>
    <w:rsid w:val="00EF1DB4"/>
    <w:rsid w:val="00EF7BAE"/>
    <w:rsid w:val="00F001C4"/>
    <w:rsid w:val="00F02EB1"/>
    <w:rsid w:val="00F306CE"/>
    <w:rsid w:val="00F31D62"/>
    <w:rsid w:val="00F350EB"/>
    <w:rsid w:val="00F409C4"/>
    <w:rsid w:val="00F44178"/>
    <w:rsid w:val="00F55C53"/>
    <w:rsid w:val="00F733C3"/>
    <w:rsid w:val="00F76F3D"/>
    <w:rsid w:val="00FA2CA8"/>
    <w:rsid w:val="00FB4D2D"/>
    <w:rsid w:val="00FC37A1"/>
    <w:rsid w:val="00FD2CEA"/>
    <w:rsid w:val="00FD4924"/>
    <w:rsid w:val="00FE2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19C4140E"/>
  <w15:docId w15:val="{90CC2348-2066-4809-8098-104571A53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262C"/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qFormat/>
    <w:rsid w:val="00F02EB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4500F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F02EB1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7C74DE"/>
    <w:pPr>
      <w:ind w:left="720"/>
      <w:contextualSpacing/>
    </w:pPr>
  </w:style>
  <w:style w:type="table" w:styleId="TableGrid">
    <w:name w:val="Table Grid"/>
    <w:basedOn w:val="TableNormal"/>
    <w:rsid w:val="002C11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541F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41F3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F31D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31D62"/>
    <w:rPr>
      <w:rFonts w:ascii="Arial" w:hAnsi="Arial"/>
      <w:szCs w:val="24"/>
    </w:rPr>
  </w:style>
  <w:style w:type="paragraph" w:styleId="Footer">
    <w:name w:val="footer"/>
    <w:basedOn w:val="Normal"/>
    <w:link w:val="FooterChar"/>
    <w:uiPriority w:val="99"/>
    <w:unhideWhenUsed/>
    <w:rsid w:val="00F31D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1D62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93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17FF6-EEC1-4CA4-868E-186CAC02C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1658</Words>
  <Characters>9342</Characters>
  <Application>Microsoft Office Word</Application>
  <DocSecurity>4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Computer Incident Response Policy for the University of Southern Mississippi</vt:lpstr>
    </vt:vector>
  </TitlesOfParts>
  <Company>usm-itech</Company>
  <LinksUpToDate>false</LinksUpToDate>
  <CharactersWithSpaces>10979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Computer Incident Response Policy for the University of Southern Mississippi</dc:title>
  <dc:creator>bob.wilson</dc:creator>
  <cp:lastModifiedBy>Michelle Arrington</cp:lastModifiedBy>
  <cp:revision>2</cp:revision>
  <cp:lastPrinted>2015-11-12T16:42:00Z</cp:lastPrinted>
  <dcterms:created xsi:type="dcterms:W3CDTF">2017-02-14T19:29:00Z</dcterms:created>
  <dcterms:modified xsi:type="dcterms:W3CDTF">2017-02-14T19:29:00Z</dcterms:modified>
</cp:coreProperties>
</file>